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C5" w:rsidRDefault="006A5C65" w:rsidP="00A13BC5">
      <w:r>
        <w:rPr>
          <w:noProof/>
        </w:rPr>
        <w:drawing>
          <wp:anchor distT="0" distB="0" distL="114300" distR="114300" simplePos="0" relativeHeight="251658240" behindDoc="1" locked="0" layoutInCell="1" allowOverlap="1" wp14:anchorId="42C78741" wp14:editId="7B9C976F">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88675D" w:rsidRDefault="0088675D" w:rsidP="00331434"/>
    <w:p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rsidTr="00AB0E58">
        <w:tc>
          <w:tcPr>
            <w:tcW w:w="2438" w:type="dxa"/>
            <w:shd w:val="clear" w:color="auto" w:fill="auto"/>
          </w:tcPr>
          <w:p w:rsidR="00A13BC5" w:rsidRPr="00975B07" w:rsidRDefault="00A13BC5" w:rsidP="00AB0E58">
            <w:pPr>
              <w:rPr>
                <w:rStyle w:val="Firstpagetablebold"/>
              </w:rPr>
            </w:pPr>
            <w:r w:rsidRPr="00975B07">
              <w:rPr>
                <w:rStyle w:val="Firstpagetablebold"/>
              </w:rPr>
              <w:t>To:</w:t>
            </w:r>
          </w:p>
        </w:tc>
        <w:tc>
          <w:tcPr>
            <w:tcW w:w="6406" w:type="dxa"/>
            <w:shd w:val="clear" w:color="auto" w:fill="auto"/>
          </w:tcPr>
          <w:p w:rsidR="00A13BC5" w:rsidRPr="00F95BC9" w:rsidRDefault="009E5C82" w:rsidP="00AB0E58">
            <w:pPr>
              <w:rPr>
                <w:rStyle w:val="Firstpagetablebold"/>
              </w:rPr>
            </w:pPr>
            <w:r>
              <w:rPr>
                <w:rStyle w:val="Firstpagetablebold"/>
              </w:rPr>
              <w:t>Cabinet</w:t>
            </w:r>
          </w:p>
        </w:tc>
      </w:tr>
      <w:tr w:rsidR="00A13BC5" w:rsidRPr="00975B07" w:rsidTr="00AB0E58">
        <w:tc>
          <w:tcPr>
            <w:tcW w:w="2438" w:type="dxa"/>
            <w:shd w:val="clear" w:color="auto" w:fill="auto"/>
          </w:tcPr>
          <w:p w:rsidR="00A13BC5" w:rsidRPr="00975B07" w:rsidRDefault="00A13BC5" w:rsidP="00AB0E58">
            <w:pPr>
              <w:rPr>
                <w:rStyle w:val="Firstpagetablebold"/>
              </w:rPr>
            </w:pPr>
            <w:r w:rsidRPr="00975B07">
              <w:rPr>
                <w:rStyle w:val="Firstpagetablebold"/>
              </w:rPr>
              <w:t>Date:</w:t>
            </w:r>
          </w:p>
        </w:tc>
        <w:tc>
          <w:tcPr>
            <w:tcW w:w="6406" w:type="dxa"/>
            <w:shd w:val="clear" w:color="auto" w:fill="auto"/>
          </w:tcPr>
          <w:p w:rsidR="00A13BC5" w:rsidRPr="001356F1" w:rsidRDefault="005D0E52" w:rsidP="005D0E52">
            <w:pPr>
              <w:rPr>
                <w:b/>
              </w:rPr>
            </w:pPr>
            <w:r>
              <w:rPr>
                <w:rStyle w:val="Firstpagetablebold"/>
              </w:rPr>
              <w:t>11 March</w:t>
            </w:r>
            <w:r w:rsidR="00283B78">
              <w:rPr>
                <w:rStyle w:val="Firstpagetablebold"/>
              </w:rPr>
              <w:t xml:space="preserve"> 2020</w:t>
            </w:r>
          </w:p>
        </w:tc>
      </w:tr>
      <w:tr w:rsidR="00A13BC5" w:rsidRPr="00975B07" w:rsidTr="00AB0E58">
        <w:tc>
          <w:tcPr>
            <w:tcW w:w="2438" w:type="dxa"/>
            <w:shd w:val="clear" w:color="auto" w:fill="auto"/>
          </w:tcPr>
          <w:p w:rsidR="00A13BC5" w:rsidRPr="00975B07" w:rsidRDefault="00A13BC5" w:rsidP="00AB0E58">
            <w:pPr>
              <w:rPr>
                <w:rStyle w:val="Firstpagetablebold"/>
              </w:rPr>
            </w:pPr>
            <w:r w:rsidRPr="00975B07">
              <w:rPr>
                <w:rStyle w:val="Firstpagetablebold"/>
              </w:rPr>
              <w:t>Report of:</w:t>
            </w:r>
          </w:p>
        </w:tc>
        <w:tc>
          <w:tcPr>
            <w:tcW w:w="6406" w:type="dxa"/>
            <w:shd w:val="clear" w:color="auto" w:fill="auto"/>
          </w:tcPr>
          <w:p w:rsidR="00A13BC5" w:rsidRPr="001356F1" w:rsidRDefault="00A13BC5" w:rsidP="00AB0E58">
            <w:pPr>
              <w:rPr>
                <w:rStyle w:val="Firstpagetablebold"/>
              </w:rPr>
            </w:pPr>
            <w:r>
              <w:rPr>
                <w:rStyle w:val="Firstpagetablebold"/>
              </w:rPr>
              <w:t>Scrutiny Committee</w:t>
            </w:r>
          </w:p>
        </w:tc>
      </w:tr>
      <w:tr w:rsidR="00A13BC5" w:rsidRPr="00975B07" w:rsidTr="00AB0E58">
        <w:tc>
          <w:tcPr>
            <w:tcW w:w="2438" w:type="dxa"/>
            <w:shd w:val="clear" w:color="auto" w:fill="auto"/>
          </w:tcPr>
          <w:p w:rsidR="00A13BC5" w:rsidRPr="00975B07" w:rsidRDefault="00A13BC5" w:rsidP="00AB0E58">
            <w:pPr>
              <w:rPr>
                <w:rStyle w:val="Firstpagetablebold"/>
              </w:rPr>
            </w:pPr>
            <w:r w:rsidRPr="00975B07">
              <w:rPr>
                <w:rStyle w:val="Firstpagetablebold"/>
              </w:rPr>
              <w:t xml:space="preserve">Title of Report: </w:t>
            </w:r>
          </w:p>
        </w:tc>
        <w:tc>
          <w:tcPr>
            <w:tcW w:w="6406" w:type="dxa"/>
            <w:shd w:val="clear" w:color="auto" w:fill="auto"/>
          </w:tcPr>
          <w:p w:rsidR="000F47BC" w:rsidRPr="000F47BC" w:rsidRDefault="005D0E52" w:rsidP="000F47BC">
            <w:pPr>
              <w:rPr>
                <w:b/>
              </w:rPr>
            </w:pPr>
            <w:r w:rsidRPr="00830042">
              <w:rPr>
                <w:rFonts w:ascii="Helvetica" w:hAnsi="Helvetica"/>
                <w:b/>
                <w:color w:val="auto"/>
                <w:shd w:val="clear" w:color="auto" w:fill="FFFFFF"/>
              </w:rPr>
              <w:t>Blackbird Leys Development Project</w:t>
            </w:r>
          </w:p>
          <w:p w:rsidR="00A13BC5" w:rsidRPr="002C751F" w:rsidRDefault="00A13BC5" w:rsidP="00AB0E58">
            <w:pPr>
              <w:rPr>
                <w:rStyle w:val="Firstpagetablebold"/>
                <w:b w:val="0"/>
              </w:rPr>
            </w:pP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AB0E58">
        <w:tc>
          <w:tcPr>
            <w:tcW w:w="8845" w:type="dxa"/>
            <w:gridSpan w:val="2"/>
            <w:tcBorders>
              <w:bottom w:val="single" w:sz="8" w:space="0" w:color="000000"/>
            </w:tcBorders>
            <w:hideMark/>
          </w:tcPr>
          <w:p w:rsidR="00A13BC5" w:rsidRDefault="00A13BC5" w:rsidP="00AB0E58">
            <w:pPr>
              <w:jc w:val="center"/>
              <w:rPr>
                <w:rStyle w:val="Firstpagetablebold"/>
              </w:rPr>
            </w:pPr>
            <w:r>
              <w:rPr>
                <w:rStyle w:val="Firstpagetablebold"/>
              </w:rPr>
              <w:t>Summary and recommendations</w:t>
            </w:r>
          </w:p>
        </w:tc>
      </w:tr>
      <w:tr w:rsidR="00A13BC5" w:rsidTr="00AB0E58">
        <w:tc>
          <w:tcPr>
            <w:tcW w:w="2438" w:type="dxa"/>
            <w:tcBorders>
              <w:top w:val="single" w:sz="8" w:space="0" w:color="000000"/>
              <w:left w:val="single" w:sz="8" w:space="0" w:color="000000"/>
              <w:bottom w:val="nil"/>
              <w:right w:val="nil"/>
            </w:tcBorders>
            <w:hideMark/>
          </w:tcPr>
          <w:p w:rsidR="00A13BC5" w:rsidRDefault="00A13BC5" w:rsidP="00AB0E58">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0F47BC" w:rsidRPr="000F47BC" w:rsidRDefault="00A13BC5" w:rsidP="000F47BC">
            <w:pPr>
              <w:rPr>
                <w:b/>
              </w:rPr>
            </w:pPr>
            <w:r>
              <w:t xml:space="preserve">To present Scrutiny Committee recommendations concerning </w:t>
            </w:r>
            <w:r w:rsidR="000F47BC">
              <w:t>the</w:t>
            </w:r>
            <w:r w:rsidR="00B42140">
              <w:t xml:space="preserve"> </w:t>
            </w:r>
            <w:r w:rsidR="005D0E52" w:rsidRPr="005D0E52">
              <w:rPr>
                <w:rFonts w:ascii="Helvetica" w:hAnsi="Helvetica"/>
                <w:color w:val="auto"/>
                <w:shd w:val="clear" w:color="auto" w:fill="FFFFFF"/>
              </w:rPr>
              <w:t>Blackbird Leys Development Project</w:t>
            </w:r>
          </w:p>
          <w:p w:rsidR="00A13BC5" w:rsidRPr="001356F1" w:rsidRDefault="00A13BC5" w:rsidP="000F47BC"/>
        </w:tc>
      </w:tr>
      <w:tr w:rsidR="00A13BC5" w:rsidTr="00AB0E58">
        <w:trPr>
          <w:trHeight w:val="1157"/>
        </w:trPr>
        <w:tc>
          <w:tcPr>
            <w:tcW w:w="2438" w:type="dxa"/>
            <w:tcBorders>
              <w:top w:val="nil"/>
              <w:left w:val="single" w:sz="8" w:space="0" w:color="000000"/>
              <w:bottom w:val="nil"/>
              <w:right w:val="nil"/>
            </w:tcBorders>
            <w:hideMark/>
          </w:tcPr>
          <w:p w:rsidR="00A13BC5" w:rsidRDefault="00A13BC5" w:rsidP="00AB0E58">
            <w:pPr>
              <w:rPr>
                <w:rStyle w:val="Firstpagetablebold"/>
              </w:rPr>
            </w:pPr>
            <w:r>
              <w:rPr>
                <w:rStyle w:val="Firstpagetablebold"/>
              </w:rPr>
              <w:t>Key decision:</w:t>
            </w:r>
          </w:p>
          <w:p w:rsidR="00A13BC5" w:rsidRDefault="00A13BC5" w:rsidP="00AB0E58">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283B78" w:rsidP="00AB0E58">
            <w:r>
              <w:t>No</w:t>
            </w:r>
          </w:p>
          <w:p w:rsidR="00A13BC5" w:rsidRPr="001356F1" w:rsidRDefault="00A13BC5" w:rsidP="009F3FC4">
            <w:r>
              <w:t xml:space="preserve">Councillor </w:t>
            </w:r>
            <w:r w:rsidR="009F3FC4">
              <w:t>Andrew Gant, Chair of the Scrutiny Committee</w:t>
            </w:r>
          </w:p>
        </w:tc>
      </w:tr>
      <w:tr w:rsidR="00A13BC5" w:rsidTr="00AB0E58">
        <w:tc>
          <w:tcPr>
            <w:tcW w:w="2438" w:type="dxa"/>
            <w:tcBorders>
              <w:top w:val="nil"/>
              <w:left w:val="single" w:sz="8" w:space="0" w:color="000000"/>
              <w:bottom w:val="nil"/>
              <w:right w:val="nil"/>
            </w:tcBorders>
            <w:hideMark/>
          </w:tcPr>
          <w:p w:rsidR="00A13BC5" w:rsidRPr="00EF2280" w:rsidRDefault="009F3FC4" w:rsidP="00AB0E58">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5D0E52" w:rsidRPr="00830042">
              <w:rPr>
                <w:color w:val="auto"/>
              </w:rPr>
              <w:t>Linda Smith,</w:t>
            </w:r>
            <w:r w:rsidR="005D0E52">
              <w:rPr>
                <w:color w:val="auto"/>
              </w:rPr>
              <w:t xml:space="preserve"> Cabinet Member for</w:t>
            </w:r>
            <w:r w:rsidR="005D0E52" w:rsidRPr="00830042">
              <w:rPr>
                <w:color w:val="auto"/>
              </w:rPr>
              <w:t xml:space="preserve"> </w:t>
            </w:r>
            <w:r w:rsidR="005D0E52" w:rsidRPr="00830042">
              <w:rPr>
                <w:rFonts w:ascii="Helvetica" w:hAnsi="Helvetica"/>
                <w:color w:val="auto"/>
                <w:shd w:val="clear" w:color="auto" w:fill="FFFFFF"/>
              </w:rPr>
              <w:t>Leisure and Housing</w:t>
            </w:r>
            <w:r w:rsidR="005D0E52" w:rsidRPr="00830042">
              <w:rPr>
                <w:color w:val="auto"/>
              </w:rPr>
              <w:t xml:space="preserve"> and Councillor Mike Rowley,</w:t>
            </w:r>
            <w:r w:rsidR="005D0E52">
              <w:rPr>
                <w:color w:val="auto"/>
              </w:rPr>
              <w:t xml:space="preserve"> Cabinet Member for</w:t>
            </w:r>
            <w:r w:rsidR="005D0E52" w:rsidRPr="00830042">
              <w:rPr>
                <w:color w:val="auto"/>
              </w:rPr>
              <w:t xml:space="preserve"> </w:t>
            </w:r>
            <w:r w:rsidR="005D0E52" w:rsidRPr="00830042">
              <w:rPr>
                <w:rFonts w:ascii="Helvetica" w:hAnsi="Helvetica"/>
                <w:color w:val="auto"/>
                <w:shd w:val="clear" w:color="auto" w:fill="FFFFFF"/>
              </w:rPr>
              <w:t>Affordable Housing</w:t>
            </w:r>
          </w:p>
          <w:p w:rsidR="00FD6BEA" w:rsidRPr="00D67D83" w:rsidRDefault="00FD6BEA" w:rsidP="00A32BC3">
            <w:pPr>
              <w:spacing w:after="0"/>
              <w:rPr>
                <w:color w:val="auto"/>
              </w:rPr>
            </w:pPr>
          </w:p>
        </w:tc>
      </w:tr>
      <w:tr w:rsidR="00A13BC5" w:rsidTr="00AB0E58">
        <w:tc>
          <w:tcPr>
            <w:tcW w:w="2438" w:type="dxa"/>
            <w:tcBorders>
              <w:top w:val="nil"/>
              <w:left w:val="single" w:sz="8" w:space="0" w:color="000000"/>
              <w:bottom w:val="nil"/>
              <w:right w:val="nil"/>
            </w:tcBorders>
          </w:tcPr>
          <w:p w:rsidR="00A13BC5" w:rsidRDefault="00A13BC5" w:rsidP="00AB0E58">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5D0E52" w:rsidRDefault="005D0E52" w:rsidP="005D0E52">
            <w:pPr>
              <w:jc w:val="both"/>
              <w:rPr>
                <w:i/>
              </w:rPr>
            </w:pPr>
            <w:r w:rsidRPr="005D0E52">
              <w:t>Strong and Active Communities</w:t>
            </w:r>
          </w:p>
        </w:tc>
      </w:tr>
      <w:tr w:rsidR="00A13BC5" w:rsidTr="00AB0E58">
        <w:tc>
          <w:tcPr>
            <w:tcW w:w="2438" w:type="dxa"/>
            <w:tcBorders>
              <w:top w:val="nil"/>
              <w:left w:val="single" w:sz="8" w:space="0" w:color="000000"/>
              <w:bottom w:val="nil"/>
              <w:right w:val="nil"/>
            </w:tcBorders>
            <w:hideMark/>
          </w:tcPr>
          <w:p w:rsidR="00A13BC5" w:rsidRDefault="00A13BC5" w:rsidP="00AB0E58">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5D0E52" w:rsidRPr="005D0E52" w:rsidRDefault="005D0E52" w:rsidP="005D0E52">
            <w:pPr>
              <w:jc w:val="both"/>
            </w:pPr>
            <w:r w:rsidRPr="005D0E52">
              <w:t xml:space="preserve">Housing &amp; Homelessness Strategy 2018-2021: </w:t>
            </w:r>
          </w:p>
          <w:p w:rsidR="00A13BC5" w:rsidRPr="001356F1" w:rsidRDefault="00A13BC5" w:rsidP="00AB0E58"/>
        </w:tc>
      </w:tr>
      <w:tr w:rsidR="00A13BC5" w:rsidRPr="00975B07" w:rsidTr="00AB0E58">
        <w:trPr>
          <w:trHeight w:val="413"/>
        </w:trPr>
        <w:tc>
          <w:tcPr>
            <w:tcW w:w="8845" w:type="dxa"/>
            <w:gridSpan w:val="2"/>
            <w:tcBorders>
              <w:bottom w:val="single" w:sz="8" w:space="0" w:color="000000"/>
            </w:tcBorders>
          </w:tcPr>
          <w:p w:rsidR="00A13BC5" w:rsidRPr="00975B07" w:rsidRDefault="00A13BC5" w:rsidP="00AB0E58">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AB0E58">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AB0E58">
            <w:pPr>
              <w:jc w:val="center"/>
              <w:rPr>
                <w:color w:val="auto"/>
              </w:rPr>
            </w:pPr>
            <w:r w:rsidRPr="002C7241">
              <w:rPr>
                <w:rStyle w:val="Firstpagetablebold"/>
                <w:color w:val="auto"/>
              </w:rPr>
              <w:t>Appendices</w:t>
            </w:r>
          </w:p>
        </w:tc>
      </w:tr>
      <w:tr w:rsidR="00A13BC5" w:rsidRPr="00975B07" w:rsidTr="00AB0E58">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AB0E58">
            <w:pPr>
              <w:ind w:right="-6317"/>
              <w:rPr>
                <w:color w:val="auto"/>
              </w:rPr>
            </w:pPr>
            <w:r>
              <w:rPr>
                <w:color w:val="auto"/>
              </w:rPr>
              <w:t>None</w:t>
            </w:r>
          </w:p>
        </w:tc>
      </w:tr>
    </w:tbl>
    <w:p w:rsidR="0088675D" w:rsidRDefault="0088675D" w:rsidP="0088675D"/>
    <w:p w:rsidR="00A13BC5" w:rsidRDefault="00A13BC5" w:rsidP="00A13BC5">
      <w:pPr>
        <w:pStyle w:val="Heading1"/>
        <w:spacing w:before="0"/>
        <w:contextualSpacing/>
      </w:pPr>
      <w:r w:rsidRPr="001356F1">
        <w:t xml:space="preserve">Introduction and </w:t>
      </w:r>
      <w:r>
        <w:t>overview</w:t>
      </w:r>
    </w:p>
    <w:p w:rsidR="00A25F6C" w:rsidRDefault="00504F47" w:rsidP="00A25F6C">
      <w:pPr>
        <w:pStyle w:val="ListParagraph"/>
        <w:numPr>
          <w:ilvl w:val="0"/>
          <w:numId w:val="3"/>
        </w:numPr>
        <w:spacing w:after="0"/>
        <w:ind w:left="426" w:hanging="426"/>
      </w:pPr>
      <w:r>
        <w:t xml:space="preserve">At its meeting on </w:t>
      </w:r>
      <w:r w:rsidR="005D0E52">
        <w:t>03</w:t>
      </w:r>
      <w:r w:rsidR="00024996">
        <w:t xml:space="preserve"> </w:t>
      </w:r>
      <w:r w:rsidR="005D0E52">
        <w:t>March</w:t>
      </w:r>
      <w:r w:rsidR="00CF7FB6">
        <w:t xml:space="preserve"> 2020</w:t>
      </w:r>
      <w:r w:rsidR="009F3FC4">
        <w:t>, the Scrutiny Committee</w:t>
      </w:r>
      <w:r w:rsidR="00A13BC5">
        <w:t xml:space="preserve"> considered</w:t>
      </w:r>
      <w:r w:rsidR="00FD6BEA">
        <w:t xml:space="preserve"> </w:t>
      </w:r>
      <w:r w:rsidR="001B40F0">
        <w:t>a</w:t>
      </w:r>
      <w:r w:rsidR="00FD6BEA">
        <w:t xml:space="preserve"> report </w:t>
      </w:r>
      <w:r w:rsidR="00C16A3A">
        <w:t>concerning</w:t>
      </w:r>
      <w:r w:rsidR="00FD6BEA">
        <w:t xml:space="preserve"> </w:t>
      </w:r>
      <w:r w:rsidR="00024996">
        <w:t xml:space="preserve">the </w:t>
      </w:r>
      <w:r w:rsidR="005D0E52">
        <w:t>Blackbird Leys Development Project detailed design.</w:t>
      </w:r>
    </w:p>
    <w:p w:rsidR="00A25F6C" w:rsidRDefault="00A25F6C" w:rsidP="00A25F6C">
      <w:pPr>
        <w:pStyle w:val="ListParagraph"/>
        <w:numPr>
          <w:ilvl w:val="0"/>
          <w:numId w:val="0"/>
        </w:numPr>
        <w:spacing w:after="0"/>
        <w:ind w:left="426"/>
      </w:pPr>
    </w:p>
    <w:p w:rsidR="00B06D07" w:rsidRPr="00A25F6C" w:rsidRDefault="00A13BC5" w:rsidP="00A25F6C">
      <w:pPr>
        <w:pStyle w:val="ListParagraph"/>
        <w:numPr>
          <w:ilvl w:val="0"/>
          <w:numId w:val="3"/>
        </w:numPr>
        <w:spacing w:after="0"/>
        <w:ind w:left="426" w:hanging="426"/>
      </w:pPr>
      <w:r>
        <w:t xml:space="preserve">The Panel would like to thank Councillor </w:t>
      </w:r>
      <w:r w:rsidR="005D0E52">
        <w:t>Linda Smith</w:t>
      </w:r>
      <w:r w:rsidR="00283B78">
        <w:t>, Cabin</w:t>
      </w:r>
      <w:r w:rsidR="005D0E52">
        <w:t>et Member for Leisure and Housing</w:t>
      </w:r>
      <w:r w:rsidRPr="00A25F6C">
        <w:rPr>
          <w:bCs/>
          <w:color w:val="auto"/>
        </w:rPr>
        <w:t xml:space="preserve">, for </w:t>
      </w:r>
      <w:r w:rsidR="004A58FC">
        <w:rPr>
          <w:bCs/>
          <w:color w:val="auto"/>
        </w:rPr>
        <w:t>co-</w:t>
      </w:r>
      <w:r w:rsidR="001B40F0">
        <w:rPr>
          <w:bCs/>
          <w:color w:val="auto"/>
        </w:rPr>
        <w:t>presenting the report and</w:t>
      </w:r>
      <w:r w:rsidRPr="00A25F6C">
        <w:rPr>
          <w:bCs/>
          <w:color w:val="auto"/>
        </w:rPr>
        <w:t xml:space="preserve"> answer</w:t>
      </w:r>
      <w:r w:rsidR="001B40F0">
        <w:rPr>
          <w:bCs/>
          <w:color w:val="auto"/>
        </w:rPr>
        <w:t>ing</w:t>
      </w:r>
      <w:r w:rsidRPr="00A25F6C">
        <w:rPr>
          <w:bCs/>
          <w:color w:val="auto"/>
        </w:rPr>
        <w:t xml:space="preserve"> questions. The </w:t>
      </w:r>
      <w:r w:rsidRPr="00A25F6C">
        <w:rPr>
          <w:bCs/>
          <w:color w:val="auto"/>
        </w:rPr>
        <w:lastRenderedPageBreak/>
        <w:t>Committee would also like to tha</w:t>
      </w:r>
      <w:r w:rsidRPr="00A25F6C">
        <w:rPr>
          <w:rFonts w:cs="Arial"/>
          <w:bCs/>
          <w:color w:val="auto"/>
        </w:rPr>
        <w:t xml:space="preserve">nk </w:t>
      </w:r>
      <w:r w:rsidR="005D0E52">
        <w:rPr>
          <w:rFonts w:cs="Arial"/>
          <w:bCs/>
          <w:color w:val="auto"/>
        </w:rPr>
        <w:t xml:space="preserve">Andrew </w:t>
      </w:r>
      <w:proofErr w:type="spellStart"/>
      <w:r w:rsidR="005D0E52">
        <w:rPr>
          <w:rFonts w:cs="Arial"/>
          <w:bCs/>
          <w:color w:val="auto"/>
        </w:rPr>
        <w:t>Humpherson</w:t>
      </w:r>
      <w:proofErr w:type="spellEnd"/>
      <w:r w:rsidR="001B40F0">
        <w:rPr>
          <w:rFonts w:cs="Arial"/>
          <w:bCs/>
          <w:color w:val="auto"/>
        </w:rPr>
        <w:t>,</w:t>
      </w:r>
      <w:r w:rsidR="005D0E52">
        <w:rPr>
          <w:rFonts w:cs="Arial"/>
          <w:bCs/>
          <w:color w:val="auto"/>
        </w:rPr>
        <w:t xml:space="preserve"> Regeneration Manager,</w:t>
      </w:r>
      <w:r w:rsidR="001B40F0">
        <w:rPr>
          <w:rFonts w:cs="Arial"/>
          <w:bCs/>
          <w:color w:val="auto"/>
        </w:rPr>
        <w:t xml:space="preserve"> for</w:t>
      </w:r>
      <w:r w:rsidR="009C5FDF" w:rsidRPr="00A25F6C">
        <w:rPr>
          <w:rFonts w:cs="Arial"/>
          <w:bCs/>
          <w:color w:val="auto"/>
        </w:rPr>
        <w:t xml:space="preserve"> compiling the rep</w:t>
      </w:r>
      <w:r w:rsidR="00504F47" w:rsidRPr="00A25F6C">
        <w:rPr>
          <w:rFonts w:cs="Arial"/>
          <w:bCs/>
          <w:color w:val="auto"/>
        </w:rPr>
        <w:t>ort and supporting the meeting</w:t>
      </w:r>
      <w:r w:rsidR="005D0E52">
        <w:rPr>
          <w:rFonts w:cs="Arial"/>
          <w:bCs/>
          <w:color w:val="auto"/>
        </w:rPr>
        <w:t xml:space="preserve">, Tom Bridgman, Executive Director (Development), and Oliver </w:t>
      </w:r>
      <w:proofErr w:type="spellStart"/>
      <w:r w:rsidR="005D0E52">
        <w:rPr>
          <w:rFonts w:cs="Arial"/>
          <w:bCs/>
          <w:color w:val="auto"/>
        </w:rPr>
        <w:t>Maury</w:t>
      </w:r>
      <w:proofErr w:type="spellEnd"/>
      <w:r w:rsidR="005D0E52">
        <w:rPr>
          <w:rFonts w:cs="Arial"/>
          <w:bCs/>
          <w:color w:val="auto"/>
        </w:rPr>
        <w:t>, Partner at Montagu Evans for supporting the meeting</w:t>
      </w:r>
      <w:r w:rsidR="00504F47" w:rsidRPr="00A25F6C">
        <w:rPr>
          <w:rFonts w:cs="Arial"/>
          <w:bCs/>
          <w:color w:val="auto"/>
        </w:rPr>
        <w:t>.</w:t>
      </w:r>
    </w:p>
    <w:p w:rsidR="00504F47" w:rsidRPr="00504F47" w:rsidRDefault="00504F47" w:rsidP="00B06D07">
      <w:pPr>
        <w:pStyle w:val="ListParagraph"/>
        <w:numPr>
          <w:ilvl w:val="0"/>
          <w:numId w:val="0"/>
        </w:numPr>
        <w:spacing w:after="0"/>
        <w:ind w:left="644"/>
        <w:rPr>
          <w:color w:val="auto"/>
        </w:rPr>
      </w:pPr>
    </w:p>
    <w:p w:rsidR="00B51CD4" w:rsidRPr="005F2027" w:rsidRDefault="00A13BC5" w:rsidP="0022538B">
      <w:pPr>
        <w:pStyle w:val="Heading1"/>
      </w:pPr>
      <w:r w:rsidRPr="00B06D07">
        <w:t>Summary and recommendation</w:t>
      </w:r>
      <w:r w:rsidR="005D0E52">
        <w:t>s</w:t>
      </w:r>
    </w:p>
    <w:p w:rsidR="00B51CD4" w:rsidRDefault="00B51CD4" w:rsidP="0022538B">
      <w:pPr>
        <w:spacing w:after="0"/>
      </w:pPr>
    </w:p>
    <w:p w:rsidR="00913FB5" w:rsidRPr="00024996" w:rsidRDefault="00FB1329" w:rsidP="007E7A0D">
      <w:pPr>
        <w:pStyle w:val="ListParagraph"/>
        <w:numPr>
          <w:ilvl w:val="0"/>
          <w:numId w:val="3"/>
        </w:numPr>
      </w:pPr>
      <w:r>
        <w:t xml:space="preserve">Councillor Linda Smith, Cabinet Member for Housing and Leisure, and Andrew </w:t>
      </w:r>
      <w:proofErr w:type="spellStart"/>
      <w:r>
        <w:t>Humpherson</w:t>
      </w:r>
      <w:proofErr w:type="spellEnd"/>
      <w:r>
        <w:t xml:space="preserve">, Regeneration Manager presented the report. </w:t>
      </w:r>
      <w:r w:rsidR="005D0E52">
        <w:t>Owing to the commercial sensitivity of the issues</w:t>
      </w:r>
      <w:r>
        <w:t xml:space="preserve"> involved</w:t>
      </w:r>
      <w:r w:rsidR="005D0E52">
        <w:t xml:space="preserve"> </w:t>
      </w:r>
      <w:r>
        <w:t xml:space="preserve">this item was held in confidential session; </w:t>
      </w:r>
      <w:r w:rsidR="005D0E52">
        <w:t xml:space="preserve">little detail </w:t>
      </w:r>
      <w:r>
        <w:t>of the discussion is therefore provided here</w:t>
      </w:r>
      <w:r w:rsidR="005D0E52">
        <w:t>.</w:t>
      </w:r>
    </w:p>
    <w:p w:rsidR="00024996" w:rsidRDefault="00024996" w:rsidP="00024996">
      <w:pPr>
        <w:pStyle w:val="ListParagraph"/>
        <w:numPr>
          <w:ilvl w:val="0"/>
          <w:numId w:val="0"/>
        </w:numPr>
        <w:spacing w:after="0"/>
        <w:ind w:left="360"/>
      </w:pPr>
    </w:p>
    <w:p w:rsidR="00913FB5" w:rsidRDefault="00A25F6C" w:rsidP="0022538B">
      <w:pPr>
        <w:pStyle w:val="ListParagraph"/>
        <w:numPr>
          <w:ilvl w:val="0"/>
          <w:numId w:val="3"/>
        </w:numPr>
      </w:pPr>
      <w:r>
        <w:t>In response to the report presented the Committee</w:t>
      </w:r>
      <w:r w:rsidR="00913FB5">
        <w:t xml:space="preserve"> focused its questions along a number of key themes: </w:t>
      </w:r>
    </w:p>
    <w:p w:rsidR="00913FB5" w:rsidRDefault="005D0E52" w:rsidP="0022538B">
      <w:pPr>
        <w:pStyle w:val="ListParagraph"/>
        <w:numPr>
          <w:ilvl w:val="0"/>
          <w:numId w:val="23"/>
        </w:numPr>
      </w:pPr>
      <w:r>
        <w:t>Delivering social value within the project</w:t>
      </w:r>
    </w:p>
    <w:p w:rsidR="00BA4F39" w:rsidRDefault="005D0E52" w:rsidP="0022538B">
      <w:pPr>
        <w:pStyle w:val="ListParagraph"/>
        <w:numPr>
          <w:ilvl w:val="0"/>
          <w:numId w:val="23"/>
        </w:numPr>
      </w:pPr>
      <w:r>
        <w:t>The Community Centre</w:t>
      </w:r>
    </w:p>
    <w:p w:rsidR="00BA4F39" w:rsidRDefault="005D0E52" w:rsidP="0022538B">
      <w:pPr>
        <w:pStyle w:val="ListParagraph"/>
        <w:numPr>
          <w:ilvl w:val="0"/>
          <w:numId w:val="23"/>
        </w:numPr>
      </w:pPr>
      <w:r>
        <w:t>Climate and ecological concerns</w:t>
      </w:r>
    </w:p>
    <w:p w:rsidR="009B17F0" w:rsidRDefault="009B17F0" w:rsidP="009B17F0">
      <w:pPr>
        <w:pStyle w:val="ListParagraph"/>
        <w:numPr>
          <w:ilvl w:val="0"/>
          <w:numId w:val="0"/>
        </w:numPr>
        <w:ind w:left="720"/>
      </w:pPr>
    </w:p>
    <w:p w:rsidR="00A25F6C" w:rsidRDefault="00A25F6C" w:rsidP="0022538B">
      <w:pPr>
        <w:pStyle w:val="ListParagraph"/>
        <w:numPr>
          <w:ilvl w:val="0"/>
          <w:numId w:val="3"/>
        </w:numPr>
        <w:spacing w:after="0"/>
        <w:ind w:left="426" w:hanging="426"/>
      </w:pPr>
      <w:r>
        <w:t xml:space="preserve">The Committee makes </w:t>
      </w:r>
      <w:r w:rsidR="005D0E52">
        <w:t>three</w:t>
      </w:r>
      <w:r>
        <w:t xml:space="preserve"> recommendation</w:t>
      </w:r>
      <w:r w:rsidR="00913FB5">
        <w:t>s</w:t>
      </w:r>
      <w:r>
        <w:t>.</w:t>
      </w:r>
    </w:p>
    <w:p w:rsidR="006A7068" w:rsidRPr="00D71F81" w:rsidRDefault="006A7068" w:rsidP="0022538B">
      <w:pPr>
        <w:spacing w:after="0"/>
        <w:rPr>
          <w:rFonts w:cs="Arial"/>
        </w:rPr>
      </w:pPr>
    </w:p>
    <w:p w:rsidR="009767FB" w:rsidRPr="00F37F03" w:rsidRDefault="00FB1329" w:rsidP="0022538B">
      <w:pPr>
        <w:pStyle w:val="Heading1"/>
      </w:pPr>
      <w:r>
        <w:t>Social Value</w:t>
      </w:r>
    </w:p>
    <w:p w:rsidR="00977CB7" w:rsidRPr="00A25F6C" w:rsidRDefault="00977CB7" w:rsidP="0022538B">
      <w:pPr>
        <w:spacing w:after="0"/>
        <w:rPr>
          <w:rFonts w:cs="Arial"/>
          <w:b/>
        </w:rPr>
      </w:pPr>
    </w:p>
    <w:p w:rsidR="00A44ABB" w:rsidRDefault="00FB1329" w:rsidP="00FB1329">
      <w:pPr>
        <w:pStyle w:val="ListParagraph"/>
        <w:numPr>
          <w:ilvl w:val="0"/>
          <w:numId w:val="3"/>
        </w:numPr>
        <w:spacing w:after="0"/>
        <w:ind w:left="426" w:hanging="426"/>
      </w:pPr>
      <w:r>
        <w:t>Since May 2019 the Council has sought</w:t>
      </w:r>
      <w:r w:rsidR="00030799">
        <w:t>,</w:t>
      </w:r>
      <w:r>
        <w:t xml:space="preserve"> through the way it procures goods and services</w:t>
      </w:r>
      <w:r w:rsidR="00030799">
        <w:t>,</w:t>
      </w:r>
      <w:r>
        <w:t xml:space="preserve"> to deliver social value to the local community. It does so by including a 5% weighting in its procurement for social value considerations such as the way the tenderer seeks to protect and enhance the environment, </w:t>
      </w:r>
      <w:r w:rsidRPr="00FB1329">
        <w:t>create healthier, safer and more resilient communities, support growth of responsible l</w:t>
      </w:r>
      <w:r w:rsidR="00030799">
        <w:t>ocal businesses, and promote</w:t>
      </w:r>
      <w:r w:rsidRPr="00FB1329">
        <w:t xml:space="preserve"> local skills and employment.</w:t>
      </w:r>
      <w:r>
        <w:rPr>
          <w:b/>
        </w:rPr>
        <w:t xml:space="preserve"> </w:t>
      </w:r>
    </w:p>
    <w:p w:rsidR="00FB1329" w:rsidRDefault="00FB1329" w:rsidP="00FB1329">
      <w:pPr>
        <w:pStyle w:val="ListParagraph"/>
        <w:numPr>
          <w:ilvl w:val="0"/>
          <w:numId w:val="0"/>
        </w:numPr>
        <w:spacing w:after="0"/>
        <w:ind w:left="426"/>
      </w:pPr>
    </w:p>
    <w:p w:rsidR="00D40F65" w:rsidRDefault="00FB1329" w:rsidP="00A44ABB">
      <w:pPr>
        <w:pStyle w:val="ListParagraph"/>
        <w:numPr>
          <w:ilvl w:val="0"/>
          <w:numId w:val="3"/>
        </w:numPr>
        <w:spacing w:after="0"/>
        <w:ind w:left="426" w:hanging="426"/>
      </w:pPr>
      <w:r>
        <w:t xml:space="preserve">The Committee recognises that the original contract with Catalyst Housing Limited </w:t>
      </w:r>
      <w:r w:rsidR="00B214C0">
        <w:t xml:space="preserve">(CHL) </w:t>
      </w:r>
      <w:r>
        <w:t>was signed prior to the Council instituting social value as part of its tendering process. However, it is felt that as the project is expected to move onto its next stage there is justification to raise this as an issue with</w:t>
      </w:r>
      <w:r w:rsidR="00424C03">
        <w:t xml:space="preserve"> the contractor. It is the view of the Committee that if it can secure social value benefits through this contract it should seek to do so.</w:t>
      </w:r>
    </w:p>
    <w:p w:rsidR="006E44DD" w:rsidRDefault="006E44DD" w:rsidP="006E44DD">
      <w:pPr>
        <w:pStyle w:val="ListParagraph"/>
        <w:numPr>
          <w:ilvl w:val="0"/>
          <w:numId w:val="0"/>
        </w:numPr>
        <w:spacing w:after="0"/>
        <w:ind w:left="426"/>
      </w:pPr>
    </w:p>
    <w:p w:rsidR="006E44DD" w:rsidRPr="006E44DD" w:rsidRDefault="00BA79DA" w:rsidP="006E44DD">
      <w:pPr>
        <w:shd w:val="clear" w:color="auto" w:fill="FFFFFF"/>
        <w:ind w:left="426"/>
        <w:rPr>
          <w:rFonts w:cs="Arial"/>
          <w:b/>
          <w:color w:val="auto"/>
        </w:rPr>
      </w:pPr>
      <w:r w:rsidRPr="006E44DD">
        <w:rPr>
          <w:b/>
          <w:color w:val="auto"/>
          <w:szCs w:val="22"/>
        </w:rPr>
        <w:t xml:space="preserve">Recommendation 1: </w:t>
      </w:r>
      <w:r w:rsidR="006E44DD" w:rsidRPr="006E44DD">
        <w:rPr>
          <w:rFonts w:cs="Arial"/>
          <w:b/>
          <w:color w:val="auto"/>
        </w:rPr>
        <w:t xml:space="preserve">That the Council </w:t>
      </w:r>
      <w:r w:rsidR="00A81FD7">
        <w:rPr>
          <w:rFonts w:cs="Arial"/>
          <w:b/>
          <w:color w:val="auto"/>
        </w:rPr>
        <w:t>asks C</w:t>
      </w:r>
      <w:r w:rsidR="00601DEF">
        <w:rPr>
          <w:rFonts w:cs="Arial"/>
          <w:b/>
          <w:color w:val="auto"/>
        </w:rPr>
        <w:t xml:space="preserve">atalyst </w:t>
      </w:r>
      <w:r w:rsidR="00A81FD7">
        <w:rPr>
          <w:rFonts w:cs="Arial"/>
          <w:b/>
          <w:color w:val="auto"/>
        </w:rPr>
        <w:t>H</w:t>
      </w:r>
      <w:r w:rsidR="00601DEF">
        <w:rPr>
          <w:rFonts w:cs="Arial"/>
          <w:b/>
          <w:color w:val="auto"/>
        </w:rPr>
        <w:t xml:space="preserve">ousing </w:t>
      </w:r>
      <w:r w:rsidR="00A81FD7">
        <w:rPr>
          <w:rFonts w:cs="Arial"/>
          <w:b/>
          <w:color w:val="auto"/>
        </w:rPr>
        <w:t>L</w:t>
      </w:r>
      <w:r w:rsidR="00601DEF">
        <w:rPr>
          <w:rFonts w:cs="Arial"/>
          <w:b/>
          <w:color w:val="auto"/>
        </w:rPr>
        <w:t>imited</w:t>
      </w:r>
      <w:r w:rsidR="00A81FD7">
        <w:rPr>
          <w:rFonts w:cs="Arial"/>
          <w:b/>
          <w:color w:val="auto"/>
        </w:rPr>
        <w:t xml:space="preserve"> to complete the Council’s social value procurement paperwork and to agree for its undertakings to be </w:t>
      </w:r>
      <w:r w:rsidR="002D087A">
        <w:rPr>
          <w:rFonts w:cs="Arial"/>
          <w:b/>
          <w:color w:val="auto"/>
        </w:rPr>
        <w:t>included within the Stage Two Gateway proposals</w:t>
      </w:r>
      <w:r w:rsidR="00A81FD7">
        <w:rPr>
          <w:rFonts w:cs="Arial"/>
          <w:b/>
          <w:color w:val="auto"/>
        </w:rPr>
        <w:t>.</w:t>
      </w:r>
    </w:p>
    <w:p w:rsidR="00D3611C" w:rsidRPr="00BA4919" w:rsidRDefault="00424C03" w:rsidP="00BA4919">
      <w:pPr>
        <w:pStyle w:val="Heading1"/>
      </w:pPr>
      <w:r>
        <w:t>The Community Centre</w:t>
      </w:r>
    </w:p>
    <w:p w:rsidR="00BA79DA" w:rsidRDefault="00BF61A0" w:rsidP="00424C03">
      <w:pPr>
        <w:pStyle w:val="ListParagraph"/>
        <w:numPr>
          <w:ilvl w:val="0"/>
          <w:numId w:val="3"/>
        </w:numPr>
        <w:spacing w:after="0"/>
        <w:ind w:left="426" w:hanging="426"/>
      </w:pPr>
      <w:r>
        <w:t>The Committee discussed the</w:t>
      </w:r>
      <w:r w:rsidR="00030799">
        <w:t xml:space="preserve"> plans for the</w:t>
      </w:r>
      <w:r>
        <w:t xml:space="preserve"> Community Centre</w:t>
      </w:r>
      <w:r w:rsidR="00B226C8">
        <w:t xml:space="preserve"> at length. The two key issues were around continuity of service during the decant period, and management models. </w:t>
      </w:r>
    </w:p>
    <w:p w:rsidR="00B226C8" w:rsidRDefault="00B226C8" w:rsidP="00B226C8">
      <w:pPr>
        <w:pStyle w:val="ListParagraph"/>
        <w:numPr>
          <w:ilvl w:val="0"/>
          <w:numId w:val="0"/>
        </w:numPr>
        <w:spacing w:after="0"/>
        <w:ind w:left="426"/>
      </w:pPr>
    </w:p>
    <w:p w:rsidR="00B226C8" w:rsidRDefault="00B226C8" w:rsidP="00424C03">
      <w:pPr>
        <w:pStyle w:val="ListParagraph"/>
        <w:numPr>
          <w:ilvl w:val="0"/>
          <w:numId w:val="3"/>
        </w:numPr>
        <w:spacing w:after="0"/>
        <w:ind w:left="426" w:hanging="426"/>
      </w:pPr>
      <w:r>
        <w:t xml:space="preserve">In regards to </w:t>
      </w:r>
      <w:proofErr w:type="gramStart"/>
      <w:r>
        <w:t>the decant</w:t>
      </w:r>
      <w:proofErr w:type="gramEnd"/>
      <w:r>
        <w:t>, the Committee noted that there is a particular lack of resilience to many of the services and groups run from community centre</w:t>
      </w:r>
      <w:r w:rsidR="00030799">
        <w:t>s</w:t>
      </w:r>
      <w:r>
        <w:t xml:space="preserve">. A yoga class instructor is unlikely to be able to </w:t>
      </w:r>
      <w:proofErr w:type="gramStart"/>
      <w:r>
        <w:t>pause</w:t>
      </w:r>
      <w:proofErr w:type="gramEnd"/>
      <w:r>
        <w:t xml:space="preserve"> their classes for six months; if they face disruption they are much more likely to stop and set up elsewhere. If they were to do that, it would be harder to get them back. As such, even a small amount of disruption can reduce community amenity significantly. </w:t>
      </w:r>
    </w:p>
    <w:p w:rsidR="00B226C8" w:rsidRDefault="00B226C8" w:rsidP="00B226C8">
      <w:pPr>
        <w:pStyle w:val="ListParagraph"/>
        <w:numPr>
          <w:ilvl w:val="0"/>
          <w:numId w:val="0"/>
        </w:numPr>
        <w:ind w:left="360"/>
      </w:pPr>
    </w:p>
    <w:p w:rsidR="002D087A" w:rsidRDefault="00B226C8" w:rsidP="00424C03">
      <w:pPr>
        <w:pStyle w:val="ListParagraph"/>
        <w:numPr>
          <w:ilvl w:val="0"/>
          <w:numId w:val="3"/>
        </w:numPr>
        <w:spacing w:after="0"/>
        <w:ind w:left="426" w:hanging="426"/>
      </w:pPr>
      <w:r>
        <w:t xml:space="preserve">It is recognised that there will be support for existing users following the demolition to be accommodated elsewhere on the estate to ensure that current users can engage with their services until the new centre is available. However, </w:t>
      </w:r>
      <w:r w:rsidR="004A045A">
        <w:t>the Committee did raise concerns over whether the lack of resilience in activities at the Community Centre had been factored in sufficiently. Provision of inadequate alternatives, or simply failure</w:t>
      </w:r>
      <w:r w:rsidR="004A58FC">
        <w:t xml:space="preserve"> before and during the decant process</w:t>
      </w:r>
      <w:r w:rsidR="004A045A">
        <w:t xml:space="preserve"> to communicate the Council’s plans </w:t>
      </w:r>
      <w:r w:rsidR="00030799">
        <w:t xml:space="preserve">well enough </w:t>
      </w:r>
      <w:r w:rsidR="004A045A">
        <w:t>could cause lasting damage to the activities available in the area. Owing to the high l</w:t>
      </w:r>
      <w:r w:rsidR="00030799">
        <w:t>evels of deprivation</w:t>
      </w:r>
      <w:r w:rsidR="004A045A">
        <w:t>, the effect of any losses would be bigger than elsewhere so it is felt that</w:t>
      </w:r>
      <w:r w:rsidR="002D087A">
        <w:t xml:space="preserve"> decant of the Community Centre which retains a focus on ensuring the future needs of the wider Blackbird Leys community can be met is vital.</w:t>
      </w:r>
    </w:p>
    <w:p w:rsidR="004A045A" w:rsidRDefault="004A045A" w:rsidP="002D087A"/>
    <w:p w:rsidR="004A045A" w:rsidRDefault="004A045A" w:rsidP="00424C03">
      <w:pPr>
        <w:pStyle w:val="ListParagraph"/>
        <w:numPr>
          <w:ilvl w:val="0"/>
          <w:numId w:val="3"/>
        </w:numPr>
        <w:spacing w:after="0"/>
        <w:ind w:left="426" w:hanging="426"/>
      </w:pPr>
      <w:r>
        <w:t>Regarding</w:t>
      </w:r>
      <w:r w:rsidR="00600352">
        <w:t xml:space="preserve"> governance of the Community Centre, the Committee’s view is that the ideal outcome</w:t>
      </w:r>
      <w:r w:rsidR="00030799">
        <w:t xml:space="preserve"> is one where it is run by the c</w:t>
      </w:r>
      <w:r w:rsidR="00600352">
        <w:t>ommunity</w:t>
      </w:r>
      <w:r w:rsidR="00030799">
        <w:t xml:space="preserve"> itself</w:t>
      </w:r>
      <w:r w:rsidR="00600352">
        <w:t>. However, it is recognised that any community enterprise does require social capital</w:t>
      </w:r>
      <w:r w:rsidR="00030799">
        <w:t xml:space="preserve"> and structures</w:t>
      </w:r>
      <w:r w:rsidR="00600352">
        <w:t xml:space="preserve"> to set up and run. </w:t>
      </w:r>
      <w:r w:rsidR="00185064">
        <w:t>It took the Council between two and three years of community development to achieve the required levels of capacity for Barton to be self-run. The timeframe for meaningfully committing to such a course of action is therefore shorter than might be anticipated</w:t>
      </w:r>
      <w:r w:rsidR="00030799">
        <w:t xml:space="preserve"> and the Council must act soon if it wishes to realise this ambition</w:t>
      </w:r>
      <w:r w:rsidR="00185064">
        <w:t>.</w:t>
      </w:r>
    </w:p>
    <w:p w:rsidR="00424C03" w:rsidRDefault="00424C03" w:rsidP="00424C03">
      <w:pPr>
        <w:pStyle w:val="ListParagraph"/>
        <w:numPr>
          <w:ilvl w:val="0"/>
          <w:numId w:val="0"/>
        </w:numPr>
        <w:spacing w:after="0"/>
        <w:ind w:left="426"/>
      </w:pPr>
    </w:p>
    <w:p w:rsidR="00A81FD7" w:rsidRDefault="00424C03" w:rsidP="00A81FD7">
      <w:pPr>
        <w:shd w:val="clear" w:color="auto" w:fill="FFFFFF"/>
        <w:spacing w:after="0"/>
        <w:ind w:left="426"/>
        <w:rPr>
          <w:rFonts w:cs="Arial"/>
          <w:b/>
          <w:color w:val="auto"/>
        </w:rPr>
      </w:pPr>
      <w:r>
        <w:rPr>
          <w:rFonts w:cs="Arial"/>
          <w:b/>
          <w:color w:val="auto"/>
        </w:rPr>
        <w:t>Recommendation 2</w:t>
      </w:r>
      <w:r w:rsidR="006E44DD" w:rsidRPr="006E44DD">
        <w:rPr>
          <w:rFonts w:cs="Arial"/>
          <w:b/>
          <w:color w:val="auto"/>
        </w:rPr>
        <w:t>: That</w:t>
      </w:r>
      <w:r w:rsidR="00A81FD7">
        <w:rPr>
          <w:rFonts w:cs="Arial"/>
          <w:b/>
          <w:color w:val="auto"/>
        </w:rPr>
        <w:t xml:space="preserve"> the Council </w:t>
      </w:r>
    </w:p>
    <w:p w:rsidR="002D087A" w:rsidRDefault="002D087A" w:rsidP="00A81FD7">
      <w:pPr>
        <w:pStyle w:val="ListParagraph"/>
        <w:numPr>
          <w:ilvl w:val="0"/>
          <w:numId w:val="34"/>
        </w:numPr>
        <w:shd w:val="clear" w:color="auto" w:fill="FFFFFF"/>
        <w:spacing w:after="0"/>
        <w:rPr>
          <w:rFonts w:cs="Arial"/>
          <w:b/>
          <w:color w:val="auto"/>
        </w:rPr>
      </w:pPr>
      <w:r w:rsidRPr="00A81FD7">
        <w:rPr>
          <w:rFonts w:cs="Arial"/>
          <w:b/>
          <w:color w:val="auto"/>
        </w:rPr>
        <w:t xml:space="preserve">consults extensively on the adequacy of its alternative provision </w:t>
      </w:r>
      <w:r>
        <w:rPr>
          <w:rFonts w:cs="Arial"/>
          <w:b/>
          <w:color w:val="auto"/>
        </w:rPr>
        <w:t xml:space="preserve">for current activities at the Community Centre </w:t>
      </w:r>
      <w:r w:rsidRPr="00A81FD7">
        <w:rPr>
          <w:rFonts w:cs="Arial"/>
          <w:b/>
          <w:color w:val="auto"/>
        </w:rPr>
        <w:t xml:space="preserve">during the decant </w:t>
      </w:r>
      <w:r>
        <w:rPr>
          <w:rFonts w:cs="Arial"/>
          <w:b/>
          <w:color w:val="auto"/>
        </w:rPr>
        <w:t xml:space="preserve">period, to ensure that the new centre will continue to support the community as part of a wider healthy place making agenda </w:t>
      </w:r>
    </w:p>
    <w:p w:rsidR="00A81FD7" w:rsidRPr="00A81FD7" w:rsidRDefault="00B214C0" w:rsidP="00A81FD7">
      <w:pPr>
        <w:pStyle w:val="ListParagraph"/>
        <w:numPr>
          <w:ilvl w:val="0"/>
          <w:numId w:val="34"/>
        </w:numPr>
        <w:shd w:val="clear" w:color="auto" w:fill="FFFFFF"/>
        <w:spacing w:after="0"/>
        <w:rPr>
          <w:rFonts w:cs="Arial"/>
          <w:b/>
          <w:color w:val="auto"/>
        </w:rPr>
      </w:pPr>
      <w:proofErr w:type="gramStart"/>
      <w:r>
        <w:rPr>
          <w:rFonts w:cs="Arial"/>
          <w:b/>
          <w:color w:val="auto"/>
        </w:rPr>
        <w:t>invests</w:t>
      </w:r>
      <w:proofErr w:type="gramEnd"/>
      <w:r w:rsidR="00185064">
        <w:rPr>
          <w:rFonts w:cs="Arial"/>
          <w:b/>
          <w:color w:val="auto"/>
        </w:rPr>
        <w:t xml:space="preserve"> the</w:t>
      </w:r>
      <w:r>
        <w:rPr>
          <w:rFonts w:cs="Arial"/>
          <w:b/>
          <w:color w:val="auto"/>
        </w:rPr>
        <w:t xml:space="preserve"> time and </w:t>
      </w:r>
      <w:r w:rsidR="00185064">
        <w:rPr>
          <w:rFonts w:cs="Arial"/>
          <w:b/>
          <w:color w:val="auto"/>
        </w:rPr>
        <w:t>resources</w:t>
      </w:r>
      <w:r>
        <w:rPr>
          <w:rFonts w:cs="Arial"/>
          <w:b/>
          <w:color w:val="auto"/>
        </w:rPr>
        <w:t xml:space="preserve"> to develop the social capital required to enable community-management of the Community Centre to be a viable operating model. </w:t>
      </w:r>
    </w:p>
    <w:p w:rsidR="009B17F0" w:rsidRDefault="009B17F0" w:rsidP="0022538B">
      <w:pPr>
        <w:spacing w:after="0"/>
      </w:pPr>
    </w:p>
    <w:p w:rsidR="00424C03" w:rsidRPr="00424C03" w:rsidRDefault="00424C03" w:rsidP="00424C03">
      <w:pPr>
        <w:pStyle w:val="Heading1"/>
      </w:pPr>
      <w:r>
        <w:t>Climate and Ecological Concerns</w:t>
      </w:r>
    </w:p>
    <w:p w:rsidR="00424C03" w:rsidRPr="00424C03" w:rsidRDefault="00424C03" w:rsidP="00424C03">
      <w:pPr>
        <w:pStyle w:val="ListParagraph"/>
        <w:numPr>
          <w:ilvl w:val="0"/>
          <w:numId w:val="3"/>
        </w:numPr>
        <w:spacing w:after="0"/>
        <w:ind w:left="426" w:hanging="426"/>
        <w:rPr>
          <w:rFonts w:cs="Arial"/>
          <w:b/>
          <w:color w:val="auto"/>
        </w:rPr>
      </w:pPr>
      <w:r>
        <w:t xml:space="preserve">The standard of building committed to within the viability assessment meets the requirements of the emerging 2036 Local Plan in delivering a 40% increase in efficiency on Building Regulation efficiency standards, and BREEAM Excellent rating for the Community Centre. </w:t>
      </w:r>
    </w:p>
    <w:p w:rsidR="00424C03" w:rsidRPr="00424C03" w:rsidRDefault="00424C03" w:rsidP="00424C03">
      <w:pPr>
        <w:pStyle w:val="ListParagraph"/>
        <w:numPr>
          <w:ilvl w:val="0"/>
          <w:numId w:val="0"/>
        </w:numPr>
        <w:spacing w:after="0"/>
        <w:ind w:left="426"/>
        <w:rPr>
          <w:rFonts w:cs="Arial"/>
          <w:b/>
          <w:color w:val="auto"/>
        </w:rPr>
      </w:pPr>
    </w:p>
    <w:p w:rsidR="006E44DD" w:rsidRPr="00424C03" w:rsidRDefault="00424C03" w:rsidP="00424C03">
      <w:pPr>
        <w:pStyle w:val="ListParagraph"/>
        <w:numPr>
          <w:ilvl w:val="0"/>
          <w:numId w:val="3"/>
        </w:numPr>
        <w:spacing w:after="0"/>
        <w:ind w:left="426" w:hanging="426"/>
        <w:rPr>
          <w:rFonts w:cs="Arial"/>
          <w:b/>
          <w:color w:val="auto"/>
        </w:rPr>
      </w:pPr>
      <w:r>
        <w:t xml:space="preserve">In section 85 of the report before Cabinet the text states that Catalyst Housing Limited will explore going further than this requirement. ‘CHL is further committed to delivering solutions that reduce carbon emissions… The sustainability proposals will continue to be developed as part of the Detailed </w:t>
      </w:r>
      <w:r>
        <w:lastRenderedPageBreak/>
        <w:t xml:space="preserve">Design Stage 2 proposals, with consideration of the impact of further enhancements including </w:t>
      </w:r>
      <w:proofErr w:type="spellStart"/>
      <w:r>
        <w:t>Passivhaus</w:t>
      </w:r>
      <w:proofErr w:type="spellEnd"/>
      <w:r>
        <w:t xml:space="preserve"> and other improvements to sustainability’.</w:t>
      </w:r>
    </w:p>
    <w:p w:rsidR="00424C03" w:rsidRPr="00424C03" w:rsidRDefault="00424C03" w:rsidP="00424C03">
      <w:pPr>
        <w:pStyle w:val="ListParagraph"/>
        <w:numPr>
          <w:ilvl w:val="0"/>
          <w:numId w:val="0"/>
        </w:numPr>
        <w:spacing w:after="0"/>
        <w:ind w:left="426"/>
        <w:rPr>
          <w:rFonts w:cs="Arial"/>
          <w:b/>
          <w:color w:val="auto"/>
        </w:rPr>
      </w:pPr>
    </w:p>
    <w:p w:rsidR="00B214C0" w:rsidRPr="00B214C0" w:rsidRDefault="00424C03" w:rsidP="00B214C0">
      <w:pPr>
        <w:pStyle w:val="ListParagraph"/>
        <w:numPr>
          <w:ilvl w:val="0"/>
          <w:numId w:val="3"/>
        </w:numPr>
        <w:spacing w:after="0"/>
        <w:ind w:left="426" w:hanging="426"/>
        <w:rPr>
          <w:rFonts w:cs="Arial"/>
          <w:b/>
          <w:color w:val="auto"/>
        </w:rPr>
      </w:pPr>
      <w:r>
        <w:t xml:space="preserve">The Committee </w:t>
      </w:r>
      <w:r w:rsidR="00C22631">
        <w:t xml:space="preserve">welcomes CHL’s willingness to explore sustainability improvements. However, in light of the evidence of the Climate Emergency Review Group that building to </w:t>
      </w:r>
      <w:proofErr w:type="spellStart"/>
      <w:r w:rsidR="00C22631">
        <w:t>Passivhaus</w:t>
      </w:r>
      <w:proofErr w:type="spellEnd"/>
      <w:r w:rsidR="00C22631">
        <w:t xml:space="preserve"> standards no longer</w:t>
      </w:r>
      <w:r w:rsidR="00601DEF">
        <w:t xml:space="preserve"> necessarily</w:t>
      </w:r>
      <w:r w:rsidR="00C22631">
        <w:t xml:space="preserve"> attracts a price premium the Committee considers it reasonable to seek that this standard of efficiency, particularly around insulation and air-tightness, should be met for the homes constructed. However, it is recognised that </w:t>
      </w:r>
      <w:proofErr w:type="spellStart"/>
      <w:r w:rsidR="00C22631">
        <w:t>Passivhaus</w:t>
      </w:r>
      <w:proofErr w:type="spellEnd"/>
      <w:r w:rsidR="00C22631">
        <w:t xml:space="preserve"> accreditation does add a significant expense, so this is not recommended. The Committee notes that there are building contractors with experience of delivering to </w:t>
      </w:r>
      <w:proofErr w:type="spellStart"/>
      <w:r w:rsidR="00C22631">
        <w:t>Passivhaus</w:t>
      </w:r>
      <w:proofErr w:type="spellEnd"/>
      <w:r w:rsidR="00C22631">
        <w:t xml:space="preserve"> standards at costs below those of building to Building Regulation standards</w:t>
      </w:r>
      <w:r w:rsidR="00030799">
        <w:t xml:space="preserve"> so it is felt not to be an unreasonable request</w:t>
      </w:r>
      <w:r w:rsidR="004A58FC">
        <w:t>, particularly in light of CHL’s own undertakings to reach the more stringent emerging Local Plan 2036 standards</w:t>
      </w:r>
      <w:r w:rsidR="00C22631">
        <w:t>.</w:t>
      </w:r>
    </w:p>
    <w:p w:rsidR="00B214C0" w:rsidRPr="00B214C0" w:rsidRDefault="00B214C0" w:rsidP="00B214C0">
      <w:pPr>
        <w:pStyle w:val="ListParagraph"/>
        <w:numPr>
          <w:ilvl w:val="0"/>
          <w:numId w:val="0"/>
        </w:numPr>
        <w:ind w:left="360"/>
        <w:rPr>
          <w:rFonts w:cs="Arial"/>
          <w:b/>
          <w:color w:val="auto"/>
        </w:rPr>
      </w:pPr>
    </w:p>
    <w:p w:rsidR="00BF61A0" w:rsidRPr="00BF61A0" w:rsidRDefault="00B214C0" w:rsidP="00B214C0">
      <w:pPr>
        <w:pStyle w:val="ListParagraph"/>
        <w:numPr>
          <w:ilvl w:val="0"/>
          <w:numId w:val="3"/>
        </w:numPr>
        <w:spacing w:after="0"/>
        <w:ind w:left="426" w:hanging="426"/>
        <w:rPr>
          <w:rFonts w:cs="Arial"/>
          <w:b/>
          <w:color w:val="auto"/>
        </w:rPr>
      </w:pPr>
      <w:r>
        <w:rPr>
          <w:rFonts w:cs="Arial"/>
          <w:color w:val="auto"/>
        </w:rPr>
        <w:t xml:space="preserve">An area of advice provided to the Committee, which was welcomed, was </w:t>
      </w:r>
      <w:r w:rsidR="00BF61A0">
        <w:rPr>
          <w:rFonts w:cs="Arial"/>
          <w:color w:val="auto"/>
        </w:rPr>
        <w:t>in regards to the opportunities for cost control. The Council has appointed a pricing consultant</w:t>
      </w:r>
      <w:r w:rsidR="00030799">
        <w:rPr>
          <w:rFonts w:cs="Arial"/>
          <w:color w:val="auto"/>
        </w:rPr>
        <w:t>, Ridge,</w:t>
      </w:r>
      <w:r w:rsidR="00BF61A0">
        <w:rPr>
          <w:rFonts w:cs="Arial"/>
          <w:color w:val="auto"/>
        </w:rPr>
        <w:t xml:space="preserve"> to moni</w:t>
      </w:r>
      <w:r w:rsidR="00030799">
        <w:rPr>
          <w:rFonts w:cs="Arial"/>
          <w:color w:val="auto"/>
        </w:rPr>
        <w:t>tor project costs and has secured</w:t>
      </w:r>
      <w:r w:rsidR="00BF61A0">
        <w:rPr>
          <w:rFonts w:cs="Arial"/>
          <w:color w:val="auto"/>
        </w:rPr>
        <w:t xml:space="preserve"> a high degree of transparency over spending. Ensuring that Ridge pay particular attention to pricing suggestions around high-efficiency homes would ensure buildings could be delivered to such standards at current, comparable, prices rather than the premium prices of recent history. </w:t>
      </w:r>
    </w:p>
    <w:p w:rsidR="00C22631" w:rsidRPr="00C22631" w:rsidRDefault="00C22631" w:rsidP="00C22631">
      <w:pPr>
        <w:pStyle w:val="ListParagraph"/>
        <w:numPr>
          <w:ilvl w:val="0"/>
          <w:numId w:val="0"/>
        </w:numPr>
        <w:ind w:left="360"/>
        <w:rPr>
          <w:rFonts w:cs="Arial"/>
          <w:b/>
          <w:color w:val="auto"/>
        </w:rPr>
      </w:pPr>
    </w:p>
    <w:p w:rsidR="00C22631" w:rsidRPr="00BE5567" w:rsidRDefault="00C22631" w:rsidP="00424C03">
      <w:pPr>
        <w:pStyle w:val="ListParagraph"/>
        <w:numPr>
          <w:ilvl w:val="0"/>
          <w:numId w:val="3"/>
        </w:numPr>
        <w:spacing w:after="0"/>
        <w:ind w:left="426" w:hanging="426"/>
        <w:rPr>
          <w:rFonts w:cs="Arial"/>
          <w:b/>
          <w:color w:val="auto"/>
        </w:rPr>
      </w:pPr>
      <w:r>
        <w:rPr>
          <w:rFonts w:cs="Arial"/>
          <w:color w:val="auto"/>
        </w:rPr>
        <w:t xml:space="preserve">The Committee also expressed the view that a benefit of living in a </w:t>
      </w:r>
      <w:proofErr w:type="spellStart"/>
      <w:r>
        <w:rPr>
          <w:rFonts w:cs="Arial"/>
          <w:color w:val="auto"/>
        </w:rPr>
        <w:t>Passivhaus</w:t>
      </w:r>
      <w:proofErr w:type="spellEnd"/>
      <w:r>
        <w:rPr>
          <w:rFonts w:cs="Arial"/>
          <w:color w:val="auto"/>
        </w:rPr>
        <w:t xml:space="preserve"> standard home is significantly lower heating bills. Whilst it does not subscribe to the view that </w:t>
      </w:r>
      <w:proofErr w:type="spellStart"/>
      <w:r>
        <w:rPr>
          <w:rFonts w:cs="Arial"/>
          <w:color w:val="auto"/>
        </w:rPr>
        <w:t>Passivhaus</w:t>
      </w:r>
      <w:proofErr w:type="spellEnd"/>
      <w:r>
        <w:rPr>
          <w:rFonts w:cs="Arial"/>
          <w:color w:val="auto"/>
        </w:rPr>
        <w:t xml:space="preserve"> homes are more expensive to construct, </w:t>
      </w:r>
      <w:r w:rsidR="00BE5567">
        <w:rPr>
          <w:rFonts w:cs="Arial"/>
          <w:color w:val="auto"/>
        </w:rPr>
        <w:t>a means of reducing any premium</w:t>
      </w:r>
      <w:r w:rsidR="00030799">
        <w:rPr>
          <w:rFonts w:cs="Arial"/>
          <w:color w:val="auto"/>
        </w:rPr>
        <w:t xml:space="preserve"> that did arise</w:t>
      </w:r>
      <w:r w:rsidR="00BE5567">
        <w:rPr>
          <w:rFonts w:cs="Arial"/>
          <w:color w:val="auto"/>
        </w:rPr>
        <w:t xml:space="preserve"> would be through instituting a ‘comfort plan’ payment analogous to that implemented by Nottingham City Homes, which diverts the money paid by tenants to heat inefficient homes to investing in greater efficiency instead, delivering more efficient homes at no additional cost to tenants. Should additional funds need to be found to reach </w:t>
      </w:r>
      <w:proofErr w:type="spellStart"/>
      <w:r w:rsidR="00BE5567">
        <w:rPr>
          <w:rFonts w:cs="Arial"/>
          <w:color w:val="auto"/>
        </w:rPr>
        <w:t>Passivhaus</w:t>
      </w:r>
      <w:proofErr w:type="spellEnd"/>
      <w:r w:rsidR="00BE5567">
        <w:rPr>
          <w:rFonts w:cs="Arial"/>
          <w:color w:val="auto"/>
        </w:rPr>
        <w:t xml:space="preserve"> standards, the Committee considers this to be an equitable and sensible approach to closing any funding gap. </w:t>
      </w:r>
    </w:p>
    <w:p w:rsidR="00BE5567" w:rsidRPr="00BE5567" w:rsidRDefault="00BE5567" w:rsidP="00BE5567">
      <w:pPr>
        <w:pStyle w:val="ListParagraph"/>
        <w:numPr>
          <w:ilvl w:val="0"/>
          <w:numId w:val="0"/>
        </w:numPr>
        <w:ind w:left="360"/>
        <w:rPr>
          <w:rFonts w:cs="Arial"/>
          <w:b/>
          <w:color w:val="auto"/>
        </w:rPr>
      </w:pPr>
    </w:p>
    <w:p w:rsidR="00BE5567" w:rsidRPr="00424C03" w:rsidRDefault="00BE5567" w:rsidP="00424C03">
      <w:pPr>
        <w:pStyle w:val="ListParagraph"/>
        <w:numPr>
          <w:ilvl w:val="0"/>
          <w:numId w:val="3"/>
        </w:numPr>
        <w:spacing w:after="0"/>
        <w:ind w:left="426" w:hanging="426"/>
        <w:rPr>
          <w:rFonts w:cs="Arial"/>
          <w:b/>
          <w:color w:val="auto"/>
        </w:rPr>
      </w:pPr>
      <w:r>
        <w:rPr>
          <w:rFonts w:cs="Arial"/>
          <w:color w:val="auto"/>
        </w:rPr>
        <w:t>Finally, though the commitment to looking at sustainability improvements is welcomed, no mention is given to the ecological impact of the development. The Council has a Biodiversity Technical Advice Note, which identifies how the ecological impact of development can be managed. However, good practice is to work with a biodiversity partner who can provide expert advice on how and where to implement such ideas for maximum benefit, as well as providing external monitoring of the delivery of such plans. The site of the development lies between two particularly rich areas for biodiversity; expert support to ensure that wildlife can safely travel between the two is particularly important in this case.</w:t>
      </w:r>
    </w:p>
    <w:p w:rsidR="00424C03" w:rsidRDefault="00424C03" w:rsidP="00424C03">
      <w:pPr>
        <w:pStyle w:val="ListParagraph"/>
        <w:numPr>
          <w:ilvl w:val="0"/>
          <w:numId w:val="0"/>
        </w:numPr>
        <w:spacing w:after="0"/>
        <w:ind w:left="426"/>
        <w:rPr>
          <w:rFonts w:cs="Arial"/>
          <w:b/>
          <w:color w:val="auto"/>
        </w:rPr>
      </w:pPr>
    </w:p>
    <w:p w:rsidR="006E44DD" w:rsidRPr="002D087A" w:rsidRDefault="00C22631" w:rsidP="002D087A">
      <w:pPr>
        <w:pStyle w:val="ListParagraph"/>
        <w:numPr>
          <w:ilvl w:val="0"/>
          <w:numId w:val="0"/>
        </w:numPr>
        <w:shd w:val="clear" w:color="auto" w:fill="FFFFFF"/>
        <w:spacing w:after="0"/>
        <w:ind w:left="360"/>
        <w:rPr>
          <w:rFonts w:cs="Arial"/>
          <w:b/>
          <w:color w:val="auto"/>
        </w:rPr>
      </w:pPr>
      <w:r>
        <w:rPr>
          <w:rFonts w:cs="Arial"/>
          <w:b/>
          <w:color w:val="auto"/>
        </w:rPr>
        <w:t>Recommendation 3</w:t>
      </w:r>
      <w:r w:rsidR="00275EA1">
        <w:rPr>
          <w:rFonts w:cs="Arial"/>
          <w:b/>
          <w:color w:val="auto"/>
        </w:rPr>
        <w:t xml:space="preserve">: </w:t>
      </w:r>
      <w:r w:rsidR="002D087A">
        <w:rPr>
          <w:rFonts w:cs="Arial"/>
          <w:b/>
          <w:color w:val="auto"/>
        </w:rPr>
        <w:t>That in the detailed design phase of the project the Council requires that C</w:t>
      </w:r>
      <w:r w:rsidR="00301911">
        <w:rPr>
          <w:rFonts w:cs="Arial"/>
          <w:b/>
          <w:color w:val="auto"/>
        </w:rPr>
        <w:t xml:space="preserve">atalyst </w:t>
      </w:r>
      <w:r w:rsidR="002D087A">
        <w:rPr>
          <w:rFonts w:cs="Arial"/>
          <w:b/>
          <w:color w:val="auto"/>
        </w:rPr>
        <w:t>H</w:t>
      </w:r>
      <w:r w:rsidR="00301911">
        <w:rPr>
          <w:rFonts w:cs="Arial"/>
          <w:b/>
          <w:color w:val="auto"/>
        </w:rPr>
        <w:t xml:space="preserve">ousing </w:t>
      </w:r>
      <w:r w:rsidR="002D087A">
        <w:rPr>
          <w:rFonts w:cs="Arial"/>
          <w:b/>
          <w:color w:val="auto"/>
        </w:rPr>
        <w:t>L</w:t>
      </w:r>
      <w:r w:rsidR="00301911">
        <w:rPr>
          <w:rFonts w:cs="Arial"/>
          <w:b/>
          <w:color w:val="auto"/>
        </w:rPr>
        <w:t>imited</w:t>
      </w:r>
      <w:r w:rsidR="002D087A">
        <w:rPr>
          <w:rFonts w:cs="Arial"/>
          <w:b/>
          <w:color w:val="auto"/>
        </w:rPr>
        <w:t xml:space="preserve"> includes the following within the Stage Two Gateway proposals:</w:t>
      </w:r>
    </w:p>
    <w:p w:rsidR="00275EA1" w:rsidRDefault="00275EA1" w:rsidP="00275EA1">
      <w:pPr>
        <w:pStyle w:val="ListParagraph"/>
        <w:numPr>
          <w:ilvl w:val="0"/>
          <w:numId w:val="33"/>
        </w:numPr>
        <w:shd w:val="clear" w:color="auto" w:fill="FFFFFF"/>
        <w:spacing w:after="0"/>
        <w:rPr>
          <w:rFonts w:cs="Arial"/>
          <w:b/>
          <w:color w:val="auto"/>
        </w:rPr>
      </w:pPr>
      <w:proofErr w:type="spellStart"/>
      <w:r>
        <w:rPr>
          <w:rFonts w:cs="Arial"/>
          <w:b/>
          <w:color w:val="auto"/>
        </w:rPr>
        <w:lastRenderedPageBreak/>
        <w:t>Passivhaus</w:t>
      </w:r>
      <w:proofErr w:type="spellEnd"/>
      <w:r>
        <w:rPr>
          <w:rFonts w:cs="Arial"/>
          <w:b/>
          <w:color w:val="auto"/>
        </w:rPr>
        <w:t xml:space="preserve"> standards of </w:t>
      </w:r>
      <w:r w:rsidR="00185064">
        <w:rPr>
          <w:rFonts w:cs="Arial"/>
          <w:b/>
          <w:color w:val="auto"/>
        </w:rPr>
        <w:t>insulation</w:t>
      </w:r>
      <w:r>
        <w:rPr>
          <w:rFonts w:cs="Arial"/>
          <w:b/>
          <w:color w:val="auto"/>
        </w:rPr>
        <w:t xml:space="preserve"> and air-tightness</w:t>
      </w:r>
    </w:p>
    <w:p w:rsidR="00275EA1" w:rsidRDefault="002D087A" w:rsidP="00275EA1">
      <w:pPr>
        <w:pStyle w:val="ListParagraph"/>
        <w:numPr>
          <w:ilvl w:val="0"/>
          <w:numId w:val="33"/>
        </w:numPr>
        <w:shd w:val="clear" w:color="auto" w:fill="FFFFFF"/>
        <w:spacing w:after="0"/>
        <w:rPr>
          <w:rFonts w:cs="Arial"/>
          <w:b/>
          <w:color w:val="auto"/>
        </w:rPr>
      </w:pPr>
      <w:r>
        <w:rPr>
          <w:rFonts w:cs="Arial"/>
          <w:b/>
          <w:color w:val="auto"/>
        </w:rPr>
        <w:t xml:space="preserve">Appointing a suitably experience sustainable construction consultant to advise on best practice for  delivering homes at </w:t>
      </w:r>
      <w:proofErr w:type="spellStart"/>
      <w:r>
        <w:rPr>
          <w:rFonts w:cs="Arial"/>
          <w:b/>
          <w:color w:val="auto"/>
        </w:rPr>
        <w:t>Passivhaus</w:t>
      </w:r>
      <w:proofErr w:type="spellEnd"/>
      <w:r>
        <w:rPr>
          <w:rFonts w:cs="Arial"/>
          <w:b/>
          <w:color w:val="auto"/>
        </w:rPr>
        <w:t xml:space="preserve"> standards at construction prices at or below those for Building Regulations</w:t>
      </w:r>
    </w:p>
    <w:p w:rsidR="00275EA1" w:rsidRDefault="00275EA1" w:rsidP="00275EA1">
      <w:pPr>
        <w:pStyle w:val="ListParagraph"/>
        <w:numPr>
          <w:ilvl w:val="0"/>
          <w:numId w:val="33"/>
        </w:numPr>
        <w:shd w:val="clear" w:color="auto" w:fill="FFFFFF"/>
        <w:spacing w:after="0"/>
        <w:rPr>
          <w:rFonts w:cs="Arial"/>
          <w:b/>
          <w:color w:val="auto"/>
        </w:rPr>
      </w:pPr>
      <w:r>
        <w:rPr>
          <w:rFonts w:cs="Arial"/>
          <w:b/>
          <w:color w:val="auto"/>
        </w:rPr>
        <w:t xml:space="preserve">A ‘comfort payment’ system similar to that from Nottingham City </w:t>
      </w:r>
      <w:r w:rsidR="00301911">
        <w:rPr>
          <w:rFonts w:cs="Arial"/>
          <w:b/>
          <w:color w:val="auto"/>
        </w:rPr>
        <w:t xml:space="preserve">Homes </w:t>
      </w:r>
      <w:r>
        <w:rPr>
          <w:rFonts w:cs="Arial"/>
          <w:b/>
          <w:color w:val="auto"/>
        </w:rPr>
        <w:t xml:space="preserve">as a means of closing any viability gaps related to the cost of delivering </w:t>
      </w:r>
      <w:proofErr w:type="spellStart"/>
      <w:r>
        <w:rPr>
          <w:rFonts w:cs="Arial"/>
          <w:b/>
          <w:color w:val="auto"/>
        </w:rPr>
        <w:t>Passivhaus</w:t>
      </w:r>
      <w:proofErr w:type="spellEnd"/>
      <w:r>
        <w:rPr>
          <w:rFonts w:cs="Arial"/>
          <w:b/>
          <w:color w:val="auto"/>
        </w:rPr>
        <w:t xml:space="preserve"> standards</w:t>
      </w:r>
    </w:p>
    <w:p w:rsidR="00275EA1" w:rsidRPr="006E44DD" w:rsidRDefault="00275EA1" w:rsidP="00275EA1">
      <w:pPr>
        <w:pStyle w:val="ListParagraph"/>
        <w:numPr>
          <w:ilvl w:val="0"/>
          <w:numId w:val="33"/>
        </w:numPr>
        <w:shd w:val="clear" w:color="auto" w:fill="FFFFFF"/>
        <w:spacing w:after="0"/>
        <w:rPr>
          <w:rFonts w:cs="Arial"/>
          <w:b/>
          <w:color w:val="auto"/>
        </w:rPr>
      </w:pPr>
      <w:r>
        <w:rPr>
          <w:rFonts w:cs="Arial"/>
          <w:b/>
          <w:color w:val="auto"/>
        </w:rPr>
        <w:t>The appointment of a biodiversity partner to advise on and monitor actions to support ecological mitigations to the development.</w:t>
      </w:r>
    </w:p>
    <w:p w:rsidR="006E44DD" w:rsidRPr="006E44DD" w:rsidRDefault="006E44DD" w:rsidP="006E44DD">
      <w:pPr>
        <w:pStyle w:val="ListParagraph"/>
        <w:numPr>
          <w:ilvl w:val="0"/>
          <w:numId w:val="0"/>
        </w:numPr>
        <w:shd w:val="clear" w:color="auto" w:fill="FFFFFF"/>
        <w:spacing w:after="0"/>
        <w:ind w:left="360"/>
        <w:rPr>
          <w:rFonts w:cs="Arial"/>
          <w:color w:val="500050"/>
        </w:rPr>
      </w:pPr>
      <w:r w:rsidRPr="006E44DD">
        <w:rPr>
          <w:rFonts w:cs="Arial"/>
          <w:color w:val="500050"/>
        </w:rPr>
        <w:t> </w:t>
      </w:r>
    </w:p>
    <w:p w:rsidR="006A5C65" w:rsidRDefault="006A5C65" w:rsidP="0022538B">
      <w:pPr>
        <w:pStyle w:val="Heading1"/>
      </w:pPr>
      <w:r w:rsidRPr="00905591">
        <w:t>Further Consideration</w:t>
      </w:r>
      <w:r w:rsidRPr="006A5C65">
        <w:t xml:space="preserve"> </w:t>
      </w:r>
    </w:p>
    <w:p w:rsidR="00B018EA" w:rsidRPr="004F7D8A" w:rsidRDefault="00B018EA" w:rsidP="0022538B">
      <w:pPr>
        <w:spacing w:after="0"/>
        <w:rPr>
          <w:color w:val="auto"/>
        </w:rPr>
      </w:pPr>
    </w:p>
    <w:p w:rsidR="00FC5EF5" w:rsidRPr="00024996" w:rsidRDefault="00024996" w:rsidP="008C05AE">
      <w:pPr>
        <w:pStyle w:val="ListParagraph"/>
        <w:numPr>
          <w:ilvl w:val="0"/>
          <w:numId w:val="3"/>
        </w:numPr>
        <w:spacing w:after="0"/>
        <w:ind w:left="426" w:hanging="426"/>
        <w:rPr>
          <w:color w:val="auto"/>
        </w:rPr>
      </w:pPr>
      <w:r>
        <w:rPr>
          <w:color w:val="auto"/>
        </w:rPr>
        <w:t>It is</w:t>
      </w:r>
      <w:r w:rsidR="00905591">
        <w:rPr>
          <w:color w:val="auto"/>
        </w:rPr>
        <w:t xml:space="preserve"> anticipated that</w:t>
      </w:r>
      <w:r>
        <w:rPr>
          <w:color w:val="auto"/>
        </w:rPr>
        <w:t xml:space="preserve"> there will </w:t>
      </w:r>
      <w:r w:rsidR="00BF61A0">
        <w:rPr>
          <w:color w:val="auto"/>
        </w:rPr>
        <w:t>not be further consideration of this topic by the Committee until the detailed design phase has been agreed. At that point the Committee may wish to scrutinise the proposals</w:t>
      </w:r>
      <w:r w:rsidR="00301911">
        <w:rPr>
          <w:color w:val="auto"/>
        </w:rPr>
        <w:t xml:space="preserve"> before they are considered by Cabinet</w:t>
      </w:r>
      <w:r w:rsidR="00BF61A0">
        <w:rPr>
          <w:color w:val="auto"/>
        </w:rPr>
        <w:t xml:space="preserve">. </w:t>
      </w:r>
    </w:p>
    <w:p w:rsidR="00E05800" w:rsidRPr="00FE5796" w:rsidRDefault="00E05800" w:rsidP="00FE5796">
      <w:pPr>
        <w:spacing w:after="0"/>
        <w:rPr>
          <w:color w:val="auto"/>
        </w:rPr>
      </w:pPr>
    </w:p>
    <w:p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AB0E5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AB0E58">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AB0E58">
            <w:pPr>
              <w:rPr>
                <w:color w:val="auto"/>
              </w:rPr>
            </w:pPr>
            <w:r>
              <w:rPr>
                <w:color w:val="auto"/>
              </w:rPr>
              <w:t>Tom Hud</w:t>
            </w:r>
            <w:r w:rsidR="0088675D">
              <w:rPr>
                <w:color w:val="auto"/>
              </w:rPr>
              <w:t>son</w:t>
            </w:r>
          </w:p>
        </w:tc>
      </w:tr>
      <w:tr w:rsidR="0088675D" w:rsidRPr="008E4D66" w:rsidTr="00AB0E58">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AB0E58">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AB0E58">
            <w:pPr>
              <w:rPr>
                <w:color w:val="auto"/>
              </w:rPr>
            </w:pPr>
            <w:r w:rsidRPr="008E4D66">
              <w:rPr>
                <w:color w:val="auto"/>
              </w:rPr>
              <w:t>Scrutiny Officer</w:t>
            </w:r>
          </w:p>
        </w:tc>
      </w:tr>
      <w:tr w:rsidR="0088675D" w:rsidRPr="008E4D66" w:rsidTr="00AB0E58">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AB0E58">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AB0E58">
            <w:pPr>
              <w:rPr>
                <w:color w:val="auto"/>
              </w:rPr>
            </w:pPr>
            <w:r w:rsidRPr="008E4D66">
              <w:rPr>
                <w:color w:val="auto"/>
              </w:rPr>
              <w:t>Law and Governance</w:t>
            </w:r>
          </w:p>
        </w:tc>
      </w:tr>
      <w:tr w:rsidR="0088675D" w:rsidRPr="008E4D66" w:rsidTr="00AB0E58">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AB0E58">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AB0E58">
            <w:pPr>
              <w:rPr>
                <w:color w:val="auto"/>
              </w:rPr>
            </w:pPr>
            <w:r w:rsidRPr="008E4D66">
              <w:rPr>
                <w:color w:val="auto"/>
              </w:rPr>
              <w:t>01865 25</w:t>
            </w:r>
            <w:r>
              <w:rPr>
                <w:color w:val="auto"/>
              </w:rPr>
              <w:t>2191</w:t>
            </w:r>
            <w:r w:rsidRPr="008E4D66">
              <w:rPr>
                <w:color w:val="auto"/>
              </w:rPr>
              <w:t xml:space="preserve"> </w:t>
            </w:r>
          </w:p>
        </w:tc>
      </w:tr>
      <w:tr w:rsidR="0088675D" w:rsidRPr="008E4D66" w:rsidTr="00AB0E58">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AB0E58">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4233A9" w:rsidP="00AB0E58">
            <w:pPr>
              <w:rPr>
                <w:rStyle w:val="Hyperlink"/>
                <w:color w:val="auto"/>
              </w:rPr>
            </w:pPr>
            <w:hyperlink r:id="rId10" w:history="1">
              <w:r w:rsidR="000D1CA5" w:rsidRPr="00F14948">
                <w:rPr>
                  <w:rStyle w:val="Hyperlink"/>
                </w:rPr>
                <w:t>thudson@oxford.gov.uk</w:t>
              </w:r>
            </w:hyperlink>
          </w:p>
        </w:tc>
      </w:tr>
    </w:tbl>
    <w:p w:rsidR="000F47BC" w:rsidRDefault="000F47BC" w:rsidP="0013640C">
      <w:pPr>
        <w:spacing w:after="0"/>
        <w:rPr>
          <w:color w:val="auto"/>
        </w:rPr>
      </w:pPr>
    </w:p>
    <w:p w:rsidR="00B6088F" w:rsidRDefault="00B6088F" w:rsidP="0013640C">
      <w:pPr>
        <w:spacing w:after="0"/>
        <w:rPr>
          <w:color w:val="auto"/>
        </w:rPr>
      </w:pPr>
    </w:p>
    <w:p w:rsidR="003F4AC6" w:rsidRDefault="003F4AC6" w:rsidP="0013640C">
      <w:pPr>
        <w:spacing w:after="0"/>
        <w:rPr>
          <w:color w:val="auto"/>
        </w:rPr>
        <w:sectPr w:rsidR="003F4AC6" w:rsidSect="00B6088F">
          <w:pgSz w:w="11906" w:h="16838"/>
          <w:pgMar w:top="1440" w:right="1440" w:bottom="1440" w:left="1440" w:header="708" w:footer="708" w:gutter="0"/>
          <w:cols w:space="708"/>
          <w:docGrid w:linePitch="360"/>
        </w:sectPr>
      </w:pPr>
    </w:p>
    <w:p w:rsidR="003F4AC6" w:rsidRPr="003F4AC6" w:rsidRDefault="003F4AC6" w:rsidP="003F4AC6">
      <w:pPr>
        <w:rPr>
          <w:rFonts w:cs="Arial"/>
          <w:b/>
        </w:rPr>
      </w:pPr>
      <w:r w:rsidRPr="003F4AC6">
        <w:rPr>
          <w:rFonts w:cs="Arial"/>
          <w:b/>
        </w:rPr>
        <w:lastRenderedPageBreak/>
        <w:t>Cabinet response to recommendations of t</w:t>
      </w:r>
      <w:r w:rsidR="00D24353">
        <w:rPr>
          <w:rFonts w:cs="Arial"/>
          <w:b/>
        </w:rPr>
        <w:t>he Scrutiny Committee made on 03/03</w:t>
      </w:r>
      <w:r w:rsidRPr="003F4AC6">
        <w:rPr>
          <w:rFonts w:cs="Arial"/>
          <w:b/>
        </w:rPr>
        <w:t xml:space="preserve">/2020 concerning </w:t>
      </w:r>
      <w:r w:rsidRPr="003F4AC6">
        <w:rPr>
          <w:b/>
        </w:rPr>
        <w:t xml:space="preserve">the </w:t>
      </w:r>
      <w:r w:rsidR="00D24353">
        <w:rPr>
          <w:b/>
        </w:rPr>
        <w:t>Blackbird Leys Development Project.</w:t>
      </w:r>
    </w:p>
    <w:p w:rsidR="003F4AC6" w:rsidRPr="003F4AC6" w:rsidRDefault="003F4AC6" w:rsidP="003F4AC6">
      <w:pPr>
        <w:spacing w:after="0"/>
        <w:rPr>
          <w:rFonts w:cs="Arial"/>
          <w:b/>
        </w:rPr>
      </w:pPr>
      <w:r w:rsidRPr="003F4AC6">
        <w:rPr>
          <w:rFonts w:cs="Arial"/>
          <w:b/>
        </w:rPr>
        <w:t xml:space="preserve">Response provided by Cabinet Member for </w:t>
      </w:r>
      <w:r w:rsidR="004233A9">
        <w:rPr>
          <w:b/>
          <w:color w:val="auto"/>
        </w:rPr>
        <w:t>Affordable Housing</w:t>
      </w:r>
      <w:r w:rsidR="00D24353">
        <w:rPr>
          <w:rFonts w:cs="Arial"/>
          <w:b/>
        </w:rPr>
        <w:t xml:space="preserve">, Councillor </w:t>
      </w:r>
      <w:r w:rsidR="004233A9">
        <w:rPr>
          <w:rFonts w:cs="Arial"/>
          <w:b/>
        </w:rPr>
        <w:t>Mike Rowley</w:t>
      </w:r>
      <w:bookmarkStart w:id="0" w:name="_GoBack"/>
      <w:bookmarkEnd w:id="0"/>
    </w:p>
    <w:p w:rsidR="003F4AC6" w:rsidRPr="003F4AC6" w:rsidRDefault="003F4AC6" w:rsidP="003F4AC6">
      <w:pPr>
        <w:spacing w:after="0"/>
        <w:rPr>
          <w:color w:val="auto"/>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3F4AC6" w:rsidRPr="00AC577F" w:rsidTr="00A11D84">
        <w:tc>
          <w:tcPr>
            <w:tcW w:w="6629" w:type="dxa"/>
            <w:shd w:val="clear" w:color="auto" w:fill="D9D9D9"/>
            <w:vAlign w:val="center"/>
          </w:tcPr>
          <w:p w:rsidR="003F4AC6" w:rsidRPr="00AC577F" w:rsidRDefault="003F4AC6" w:rsidP="00A11D84">
            <w:pPr>
              <w:rPr>
                <w:rFonts w:cs="Arial"/>
                <w:b/>
                <w:i/>
              </w:rPr>
            </w:pPr>
            <w:r w:rsidRPr="00AC577F">
              <w:rPr>
                <w:rFonts w:cs="Arial"/>
                <w:b/>
                <w:i/>
              </w:rPr>
              <w:t>Recommendation</w:t>
            </w:r>
          </w:p>
        </w:tc>
        <w:tc>
          <w:tcPr>
            <w:tcW w:w="1134" w:type="dxa"/>
            <w:shd w:val="clear" w:color="auto" w:fill="D9D9D9"/>
            <w:vAlign w:val="center"/>
          </w:tcPr>
          <w:p w:rsidR="003F4AC6" w:rsidRPr="00AC577F" w:rsidRDefault="003F4AC6" w:rsidP="00A11D84">
            <w:pPr>
              <w:rPr>
                <w:rFonts w:cs="Arial"/>
                <w:b/>
                <w:i/>
              </w:rPr>
            </w:pPr>
            <w:r w:rsidRPr="00AC577F">
              <w:rPr>
                <w:rFonts w:cs="Arial"/>
                <w:b/>
                <w:i/>
              </w:rPr>
              <w:t xml:space="preserve">Agree? </w:t>
            </w:r>
          </w:p>
        </w:tc>
        <w:tc>
          <w:tcPr>
            <w:tcW w:w="6520" w:type="dxa"/>
            <w:shd w:val="clear" w:color="auto" w:fill="D9D9D9"/>
            <w:vAlign w:val="center"/>
          </w:tcPr>
          <w:p w:rsidR="003F4AC6" w:rsidRPr="00AC577F" w:rsidRDefault="003F4AC6" w:rsidP="00A11D84">
            <w:pPr>
              <w:rPr>
                <w:rFonts w:cs="Arial"/>
                <w:b/>
                <w:i/>
              </w:rPr>
            </w:pPr>
            <w:r w:rsidRPr="00AC577F">
              <w:rPr>
                <w:rFonts w:cs="Arial"/>
                <w:b/>
                <w:i/>
              </w:rPr>
              <w:t>Comment</w:t>
            </w:r>
          </w:p>
        </w:tc>
      </w:tr>
      <w:tr w:rsidR="003F4AC6" w:rsidRPr="00AC577F" w:rsidTr="00A11D84">
        <w:trPr>
          <w:trHeight w:val="1060"/>
        </w:trPr>
        <w:tc>
          <w:tcPr>
            <w:tcW w:w="6629" w:type="dxa"/>
            <w:shd w:val="clear" w:color="auto" w:fill="auto"/>
          </w:tcPr>
          <w:p w:rsidR="0081504A" w:rsidRPr="0081504A" w:rsidRDefault="0081504A" w:rsidP="0081504A">
            <w:pPr>
              <w:pStyle w:val="ListParagraph"/>
              <w:numPr>
                <w:ilvl w:val="0"/>
                <w:numId w:val="26"/>
              </w:numPr>
              <w:spacing w:after="0"/>
              <w:rPr>
                <w:rFonts w:cs="Arial"/>
                <w:b/>
                <w:sz w:val="22"/>
              </w:rPr>
            </w:pPr>
            <w:r w:rsidRPr="0081504A">
              <w:rPr>
                <w:rFonts w:cs="Arial"/>
                <w:b/>
                <w:color w:val="auto"/>
              </w:rPr>
              <w:t>That the Council asks Catalyst Housing Limited to complete the Council’s social value procurement paperwork and to agree for its undertakings to be included within the Stage Two Gateway proposals.</w:t>
            </w:r>
          </w:p>
        </w:tc>
        <w:tc>
          <w:tcPr>
            <w:tcW w:w="1134" w:type="dxa"/>
            <w:shd w:val="clear" w:color="auto" w:fill="auto"/>
          </w:tcPr>
          <w:p w:rsidR="003F4AC6" w:rsidRDefault="003F4AC6" w:rsidP="00A11D84">
            <w:pPr>
              <w:spacing w:after="0"/>
              <w:rPr>
                <w:rFonts w:cs="Arial"/>
              </w:rPr>
            </w:pPr>
          </w:p>
          <w:p w:rsidR="00D20F45" w:rsidRPr="00AC577F" w:rsidRDefault="00D20F45" w:rsidP="00A11D84">
            <w:pPr>
              <w:spacing w:after="0"/>
              <w:rPr>
                <w:rFonts w:cs="Arial"/>
              </w:rPr>
            </w:pPr>
            <w:r>
              <w:rPr>
                <w:rFonts w:cs="Arial"/>
              </w:rPr>
              <w:t>Yes</w:t>
            </w:r>
          </w:p>
        </w:tc>
        <w:tc>
          <w:tcPr>
            <w:tcW w:w="6520" w:type="dxa"/>
            <w:shd w:val="clear" w:color="auto" w:fill="auto"/>
          </w:tcPr>
          <w:p w:rsidR="003F4AC6" w:rsidRDefault="003F4AC6" w:rsidP="00A11D84">
            <w:pPr>
              <w:spacing w:after="0"/>
              <w:rPr>
                <w:rFonts w:cs="Arial"/>
              </w:rPr>
            </w:pPr>
          </w:p>
          <w:p w:rsidR="00D20F45" w:rsidRPr="00AC577F" w:rsidRDefault="002B7FF0" w:rsidP="009E5577">
            <w:pPr>
              <w:spacing w:after="0"/>
              <w:rPr>
                <w:rFonts w:cs="Arial"/>
              </w:rPr>
            </w:pPr>
            <w:r>
              <w:rPr>
                <w:rFonts w:cs="Arial"/>
              </w:rPr>
              <w:t>The Council</w:t>
            </w:r>
            <w:r w:rsidR="005602D8">
              <w:rPr>
                <w:rFonts w:cs="Arial"/>
              </w:rPr>
              <w:t xml:space="preserve"> ha</w:t>
            </w:r>
            <w:r>
              <w:rPr>
                <w:rFonts w:cs="Arial"/>
              </w:rPr>
              <w:t>s</w:t>
            </w:r>
            <w:r w:rsidR="005602D8">
              <w:rPr>
                <w:rFonts w:cs="Arial"/>
              </w:rPr>
              <w:t xml:space="preserve"> asked </w:t>
            </w:r>
            <w:r w:rsidR="00D20F45">
              <w:rPr>
                <w:rFonts w:cs="Arial"/>
              </w:rPr>
              <w:t xml:space="preserve">Catalyst </w:t>
            </w:r>
            <w:r w:rsidR="005602D8">
              <w:rPr>
                <w:rFonts w:cs="Arial"/>
              </w:rPr>
              <w:t xml:space="preserve">who </w:t>
            </w:r>
            <w:r w:rsidR="009E5577">
              <w:rPr>
                <w:rFonts w:cs="Arial"/>
              </w:rPr>
              <w:t>have</w:t>
            </w:r>
            <w:r w:rsidR="00D20F45">
              <w:rPr>
                <w:rFonts w:cs="Arial"/>
              </w:rPr>
              <w:t xml:space="preserve"> agreed in principle </w:t>
            </w:r>
            <w:r w:rsidR="00BE2C76">
              <w:rPr>
                <w:rFonts w:cs="Arial"/>
              </w:rPr>
              <w:t>and we will work with Catalyst to generate a Social Value strategy moving forward.</w:t>
            </w:r>
          </w:p>
        </w:tc>
      </w:tr>
      <w:tr w:rsidR="003F4AC6" w:rsidRPr="00AC577F" w:rsidTr="00A11D84">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81504A" w:rsidRPr="0081504A" w:rsidRDefault="0081504A" w:rsidP="0081504A">
            <w:pPr>
              <w:pStyle w:val="ListParagraph"/>
              <w:numPr>
                <w:ilvl w:val="0"/>
                <w:numId w:val="26"/>
              </w:numPr>
              <w:tabs>
                <w:tab w:val="clear" w:pos="426"/>
              </w:tabs>
              <w:spacing w:after="0"/>
              <w:rPr>
                <w:b/>
                <w:sz w:val="22"/>
                <w:szCs w:val="22"/>
              </w:rPr>
            </w:pPr>
            <w:r>
              <w:rPr>
                <w:rFonts w:cs="Arial"/>
                <w:b/>
                <w:color w:val="auto"/>
              </w:rPr>
              <w:t>That the Council:</w:t>
            </w:r>
          </w:p>
          <w:p w:rsidR="0081504A" w:rsidRPr="0081504A" w:rsidRDefault="0081504A" w:rsidP="0081504A">
            <w:pPr>
              <w:pStyle w:val="ListParagraph"/>
              <w:numPr>
                <w:ilvl w:val="0"/>
                <w:numId w:val="36"/>
              </w:numPr>
              <w:tabs>
                <w:tab w:val="clear" w:pos="426"/>
              </w:tabs>
              <w:spacing w:after="0"/>
              <w:rPr>
                <w:b/>
                <w:sz w:val="22"/>
                <w:szCs w:val="22"/>
              </w:rPr>
            </w:pPr>
            <w:r w:rsidRPr="0081504A">
              <w:rPr>
                <w:rFonts w:cs="Arial"/>
                <w:b/>
                <w:color w:val="auto"/>
              </w:rPr>
              <w:t xml:space="preserve">consults extensively on the adequacy of its alternative provision for current activities at the Community Centre during the decant period, to ensure that the new centre will continue to support the community as part of a wider healthy place making agenda </w:t>
            </w:r>
          </w:p>
          <w:p w:rsidR="0081504A" w:rsidRPr="0081504A" w:rsidRDefault="0081504A" w:rsidP="0081504A">
            <w:pPr>
              <w:pStyle w:val="ListParagraph"/>
              <w:numPr>
                <w:ilvl w:val="0"/>
                <w:numId w:val="36"/>
              </w:numPr>
              <w:shd w:val="clear" w:color="auto" w:fill="FFFFFF"/>
              <w:spacing w:after="0"/>
              <w:rPr>
                <w:rFonts w:cs="Arial"/>
                <w:b/>
                <w:color w:val="auto"/>
              </w:rPr>
            </w:pPr>
            <w:proofErr w:type="gramStart"/>
            <w:r w:rsidRPr="0081504A">
              <w:rPr>
                <w:rFonts w:cs="Arial"/>
                <w:b/>
                <w:color w:val="auto"/>
              </w:rPr>
              <w:t>invests</w:t>
            </w:r>
            <w:proofErr w:type="gramEnd"/>
            <w:r w:rsidRPr="0081504A">
              <w:rPr>
                <w:rFonts w:cs="Arial"/>
                <w:b/>
                <w:color w:val="auto"/>
              </w:rPr>
              <w:t xml:space="preserve"> the time and resources to develop the social capital required to enable community-management of the Community Centre to be a viable operating model.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AC6" w:rsidRDefault="003F4AC6" w:rsidP="00A11D84">
            <w:pPr>
              <w:spacing w:after="0"/>
              <w:rPr>
                <w:rFonts w:cs="Arial"/>
              </w:rPr>
            </w:pPr>
          </w:p>
          <w:p w:rsidR="00D20F45" w:rsidRDefault="00D159A1" w:rsidP="00A11D84">
            <w:pPr>
              <w:spacing w:after="0"/>
              <w:rPr>
                <w:rFonts w:cs="Arial"/>
              </w:rPr>
            </w:pPr>
            <w:r>
              <w:rPr>
                <w:rFonts w:cs="Arial"/>
              </w:rPr>
              <w:t>Yes</w:t>
            </w:r>
          </w:p>
          <w:p w:rsidR="00D159A1" w:rsidRDefault="00D159A1"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D159A1" w:rsidRPr="00AC577F" w:rsidRDefault="00D159A1" w:rsidP="00A11D84">
            <w:pPr>
              <w:spacing w:after="0"/>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F4AC6" w:rsidRDefault="003F4AC6" w:rsidP="00A11D84">
            <w:pPr>
              <w:spacing w:after="0"/>
              <w:rPr>
                <w:rFonts w:cs="Arial"/>
              </w:rPr>
            </w:pPr>
          </w:p>
          <w:p w:rsidR="00D159A1" w:rsidRDefault="009E5577" w:rsidP="00A11D84">
            <w:pPr>
              <w:spacing w:after="0"/>
              <w:rPr>
                <w:rFonts w:cs="Arial"/>
              </w:rPr>
            </w:pPr>
            <w:r>
              <w:rPr>
                <w:rFonts w:cs="Arial"/>
              </w:rPr>
              <w:t xml:space="preserve">The Cabinet report identifies this work will be included </w:t>
            </w:r>
            <w:r w:rsidR="000952D2">
              <w:rPr>
                <w:rFonts w:cs="Arial"/>
              </w:rPr>
              <w:t xml:space="preserve">as detailed </w:t>
            </w:r>
            <w:r w:rsidR="00A81910" w:rsidRPr="00A81910">
              <w:rPr>
                <w:rFonts w:cs="Arial"/>
              </w:rPr>
              <w:t>in the section on Stakeholder Engagement</w:t>
            </w:r>
          </w:p>
          <w:p w:rsidR="00D159A1" w:rsidRDefault="00D159A1"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D159A1" w:rsidRPr="00AC577F" w:rsidRDefault="006D19F2" w:rsidP="006D19F2">
            <w:pPr>
              <w:spacing w:after="0"/>
              <w:rPr>
                <w:rFonts w:cs="Arial"/>
              </w:rPr>
            </w:pPr>
            <w:r w:rsidRPr="006D19F2">
              <w:rPr>
                <w:rFonts w:cs="Arial"/>
              </w:rPr>
              <w:t xml:space="preserve">Boosting social capital of residents and local organisations is definitely planned for as we move forward </w:t>
            </w:r>
            <w:r>
              <w:rPr>
                <w:rFonts w:cs="Arial"/>
              </w:rPr>
              <w:t>however, n</w:t>
            </w:r>
            <w:r w:rsidRPr="006D19F2">
              <w:rPr>
                <w:rFonts w:cs="Arial"/>
              </w:rPr>
              <w:t>o decision has been taken on future management options</w:t>
            </w:r>
            <w:r>
              <w:rPr>
                <w:rFonts w:cs="Arial"/>
              </w:rPr>
              <w:t xml:space="preserve"> and t</w:t>
            </w:r>
            <w:r w:rsidR="00D159A1">
              <w:rPr>
                <w:rFonts w:cs="Arial"/>
              </w:rPr>
              <w:t>he final choice of business model will need to be agreed</w:t>
            </w:r>
            <w:r>
              <w:rPr>
                <w:rFonts w:cs="Arial"/>
              </w:rPr>
              <w:t xml:space="preserve"> at a later stage</w:t>
            </w:r>
          </w:p>
        </w:tc>
      </w:tr>
      <w:tr w:rsidR="003F4AC6" w:rsidRPr="00AC577F" w:rsidTr="00A11D84">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81504A" w:rsidRPr="0081504A" w:rsidRDefault="0081504A" w:rsidP="0081504A">
            <w:pPr>
              <w:pStyle w:val="ListParagraph"/>
              <w:numPr>
                <w:ilvl w:val="0"/>
                <w:numId w:val="37"/>
              </w:numPr>
              <w:spacing w:after="0"/>
              <w:rPr>
                <w:b/>
                <w:sz w:val="22"/>
                <w:szCs w:val="22"/>
              </w:rPr>
            </w:pPr>
            <w:r w:rsidRPr="0081504A">
              <w:rPr>
                <w:rFonts w:cs="Arial"/>
                <w:b/>
                <w:color w:val="auto"/>
              </w:rPr>
              <w:t>That in the detailed design phase of the project the Council requires that Catalyst Housing Limited includes the following within the Stage Two Gateway proposals:</w:t>
            </w:r>
          </w:p>
          <w:p w:rsidR="004D2FDE" w:rsidRPr="00A81910" w:rsidRDefault="0081504A" w:rsidP="009A7782">
            <w:pPr>
              <w:pStyle w:val="ListParagraph"/>
              <w:numPr>
                <w:ilvl w:val="0"/>
                <w:numId w:val="38"/>
              </w:numPr>
              <w:shd w:val="clear" w:color="auto" w:fill="FFFFFF"/>
              <w:spacing w:after="0"/>
              <w:ind w:left="601"/>
              <w:rPr>
                <w:rFonts w:cs="Arial"/>
                <w:b/>
                <w:color w:val="auto"/>
              </w:rPr>
            </w:pPr>
            <w:proofErr w:type="spellStart"/>
            <w:r w:rsidRPr="00A81910">
              <w:rPr>
                <w:rFonts w:cs="Arial"/>
                <w:b/>
                <w:color w:val="auto"/>
              </w:rPr>
              <w:t>Passivhaus</w:t>
            </w:r>
            <w:proofErr w:type="spellEnd"/>
            <w:r w:rsidRPr="00A81910">
              <w:rPr>
                <w:rFonts w:cs="Arial"/>
                <w:b/>
                <w:color w:val="auto"/>
              </w:rPr>
              <w:t xml:space="preserve"> standards of insulation and air-tightness</w:t>
            </w:r>
          </w:p>
          <w:p w:rsidR="004D2FDE" w:rsidRDefault="004D2FDE" w:rsidP="009A7782">
            <w:pPr>
              <w:shd w:val="clear" w:color="auto" w:fill="FFFFFF"/>
              <w:spacing w:after="0"/>
              <w:ind w:left="601"/>
              <w:rPr>
                <w:rFonts w:cs="Arial"/>
                <w:b/>
                <w:color w:val="auto"/>
              </w:rPr>
            </w:pPr>
          </w:p>
          <w:p w:rsidR="004D2FDE" w:rsidRDefault="004D2FDE" w:rsidP="009A7782">
            <w:pPr>
              <w:shd w:val="clear" w:color="auto" w:fill="FFFFFF"/>
              <w:spacing w:after="0"/>
              <w:ind w:left="601"/>
              <w:rPr>
                <w:rFonts w:cs="Arial"/>
                <w:b/>
                <w:color w:val="auto"/>
              </w:rPr>
            </w:pPr>
          </w:p>
          <w:p w:rsidR="004D2FDE" w:rsidRDefault="004D2FDE" w:rsidP="009A7782">
            <w:pPr>
              <w:shd w:val="clear" w:color="auto" w:fill="FFFFFF"/>
              <w:spacing w:after="0"/>
              <w:ind w:left="601"/>
              <w:rPr>
                <w:rFonts w:cs="Arial"/>
                <w:b/>
                <w:color w:val="auto"/>
              </w:rPr>
            </w:pPr>
          </w:p>
          <w:p w:rsidR="002B7FF0" w:rsidRPr="009A7782" w:rsidRDefault="002B7FF0" w:rsidP="009A7782">
            <w:pPr>
              <w:shd w:val="clear" w:color="auto" w:fill="FFFFFF"/>
              <w:spacing w:after="0"/>
              <w:ind w:left="601"/>
              <w:rPr>
                <w:rFonts w:cs="Arial"/>
                <w:b/>
                <w:color w:val="auto"/>
              </w:rPr>
            </w:pPr>
          </w:p>
          <w:p w:rsidR="0081504A" w:rsidRDefault="0081504A" w:rsidP="0081504A">
            <w:pPr>
              <w:pStyle w:val="ListParagraph"/>
              <w:numPr>
                <w:ilvl w:val="0"/>
                <w:numId w:val="38"/>
              </w:numPr>
              <w:shd w:val="clear" w:color="auto" w:fill="FFFFFF"/>
              <w:spacing w:after="0"/>
              <w:rPr>
                <w:rFonts w:cs="Arial"/>
                <w:b/>
                <w:color w:val="auto"/>
              </w:rPr>
            </w:pPr>
            <w:r w:rsidRPr="00294EBA">
              <w:rPr>
                <w:rFonts w:cs="Arial"/>
                <w:b/>
                <w:color w:val="auto"/>
              </w:rPr>
              <w:t xml:space="preserve">Appointing a suitably experience sustainable construction consultant to advise on best practice for  delivering homes at </w:t>
            </w:r>
            <w:proofErr w:type="spellStart"/>
            <w:r w:rsidRPr="00294EBA">
              <w:rPr>
                <w:rFonts w:cs="Arial"/>
                <w:b/>
                <w:color w:val="auto"/>
              </w:rPr>
              <w:t>Passivhaus</w:t>
            </w:r>
            <w:proofErr w:type="spellEnd"/>
            <w:r w:rsidRPr="00294EBA">
              <w:rPr>
                <w:rFonts w:cs="Arial"/>
                <w:b/>
                <w:color w:val="auto"/>
              </w:rPr>
              <w:t xml:space="preserve"> standards at construction prices at or below those for Building Regulations</w:t>
            </w:r>
          </w:p>
          <w:p w:rsidR="0081504A" w:rsidRDefault="0081504A" w:rsidP="0081504A">
            <w:pPr>
              <w:pStyle w:val="ListParagraph"/>
              <w:numPr>
                <w:ilvl w:val="0"/>
                <w:numId w:val="38"/>
              </w:numPr>
              <w:shd w:val="clear" w:color="auto" w:fill="FFFFFF"/>
              <w:spacing w:after="0"/>
              <w:rPr>
                <w:rFonts w:cs="Arial"/>
                <w:b/>
                <w:color w:val="auto"/>
              </w:rPr>
            </w:pPr>
            <w:r w:rsidRPr="00294EBA">
              <w:rPr>
                <w:rFonts w:cs="Arial"/>
                <w:b/>
                <w:color w:val="auto"/>
              </w:rPr>
              <w:t xml:space="preserve">A ‘comfort payment’ system similar to that from Nottingham City Homes as a means of closing any viability gaps related to the cost of delivering </w:t>
            </w:r>
            <w:proofErr w:type="spellStart"/>
            <w:r w:rsidRPr="00294EBA">
              <w:rPr>
                <w:rFonts w:cs="Arial"/>
                <w:b/>
                <w:color w:val="auto"/>
              </w:rPr>
              <w:t>Passivhaus</w:t>
            </w:r>
            <w:proofErr w:type="spellEnd"/>
            <w:r w:rsidRPr="00294EBA">
              <w:rPr>
                <w:rFonts w:cs="Arial"/>
                <w:b/>
                <w:color w:val="auto"/>
              </w:rPr>
              <w:t xml:space="preserve"> standards</w:t>
            </w:r>
          </w:p>
          <w:p w:rsidR="0081504A" w:rsidRPr="00294EBA" w:rsidRDefault="0081504A" w:rsidP="0081504A">
            <w:pPr>
              <w:pStyle w:val="ListParagraph"/>
              <w:numPr>
                <w:ilvl w:val="0"/>
                <w:numId w:val="38"/>
              </w:numPr>
              <w:shd w:val="clear" w:color="auto" w:fill="FFFFFF"/>
              <w:spacing w:after="0"/>
              <w:rPr>
                <w:rFonts w:cs="Arial"/>
                <w:b/>
                <w:color w:val="auto"/>
              </w:rPr>
            </w:pPr>
            <w:r w:rsidRPr="00294EBA">
              <w:rPr>
                <w:rFonts w:cs="Arial"/>
                <w:b/>
                <w:color w:val="auto"/>
              </w:rPr>
              <w:t>The appointment of a biodiversity partner to advise on and monitor actions to support ecological mitigations to the development.</w:t>
            </w:r>
          </w:p>
          <w:p w:rsidR="0081504A" w:rsidRPr="0081504A" w:rsidRDefault="0081504A" w:rsidP="0081504A">
            <w:pPr>
              <w:spacing w:after="0"/>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AC6" w:rsidRDefault="003F4AC6"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D159A1" w:rsidRDefault="009E5577" w:rsidP="00A11D84">
            <w:pPr>
              <w:spacing w:after="0"/>
              <w:rPr>
                <w:rFonts w:cs="Arial"/>
              </w:rPr>
            </w:pPr>
            <w:r>
              <w:rPr>
                <w:rFonts w:cs="Arial"/>
              </w:rPr>
              <w:t>Partial</w:t>
            </w:r>
          </w:p>
          <w:p w:rsidR="00D159A1" w:rsidRDefault="00D159A1" w:rsidP="00A11D84">
            <w:pPr>
              <w:spacing w:after="0"/>
              <w:rPr>
                <w:rFonts w:cs="Arial"/>
              </w:rPr>
            </w:pPr>
          </w:p>
          <w:p w:rsidR="004D2FDE" w:rsidRDefault="004D2FDE" w:rsidP="00A11D84">
            <w:pPr>
              <w:spacing w:after="0"/>
              <w:rPr>
                <w:rFonts w:cs="Arial"/>
              </w:rPr>
            </w:pPr>
          </w:p>
          <w:p w:rsidR="004D2FDE" w:rsidRDefault="004D2FDE" w:rsidP="00A11D84">
            <w:pPr>
              <w:spacing w:after="0"/>
              <w:rPr>
                <w:rFonts w:cs="Arial"/>
              </w:rPr>
            </w:pPr>
          </w:p>
          <w:p w:rsidR="004D2FDE" w:rsidRDefault="004D2FDE" w:rsidP="00A11D84">
            <w:pPr>
              <w:spacing w:after="0"/>
              <w:rPr>
                <w:rFonts w:cs="Arial"/>
              </w:rPr>
            </w:pPr>
          </w:p>
          <w:p w:rsidR="004D2FDE" w:rsidRDefault="004D2FDE" w:rsidP="00A11D84">
            <w:pPr>
              <w:spacing w:after="0"/>
              <w:rPr>
                <w:rFonts w:cs="Arial"/>
              </w:rPr>
            </w:pPr>
          </w:p>
          <w:p w:rsidR="00D159A1" w:rsidRDefault="00D159A1" w:rsidP="00A11D84">
            <w:pPr>
              <w:spacing w:after="0"/>
              <w:rPr>
                <w:rFonts w:cs="Arial"/>
              </w:rPr>
            </w:pPr>
            <w:r>
              <w:rPr>
                <w:rFonts w:cs="Arial"/>
              </w:rPr>
              <w:t>Yes</w:t>
            </w:r>
          </w:p>
          <w:p w:rsidR="00D159A1" w:rsidRDefault="00D159A1"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r>
              <w:rPr>
                <w:rFonts w:cs="Arial"/>
              </w:rPr>
              <w:t>No</w:t>
            </w:r>
          </w:p>
          <w:p w:rsidR="00D159A1" w:rsidRDefault="00D159A1" w:rsidP="00A11D84">
            <w:pPr>
              <w:spacing w:after="0"/>
              <w:rPr>
                <w:rFonts w:cs="Arial"/>
              </w:rPr>
            </w:pPr>
          </w:p>
          <w:p w:rsidR="00D159A1" w:rsidRDefault="00D159A1" w:rsidP="00A11D84">
            <w:pPr>
              <w:spacing w:after="0"/>
              <w:rPr>
                <w:rFonts w:cs="Arial"/>
              </w:rPr>
            </w:pPr>
          </w:p>
          <w:p w:rsidR="002B7FF0" w:rsidRDefault="002B7FF0" w:rsidP="00A11D84">
            <w:pPr>
              <w:spacing w:after="0"/>
              <w:rPr>
                <w:rFonts w:cs="Arial"/>
              </w:rPr>
            </w:pPr>
          </w:p>
          <w:p w:rsidR="00D159A1" w:rsidRPr="00AC577F" w:rsidRDefault="00D159A1" w:rsidP="00A11D84">
            <w:pPr>
              <w:spacing w:after="0"/>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F4AC6" w:rsidRDefault="003F4AC6"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4D2FDE" w:rsidRDefault="004D2FDE" w:rsidP="00A11D84">
            <w:pPr>
              <w:spacing w:after="0"/>
              <w:rPr>
                <w:rFonts w:cs="Arial"/>
              </w:rPr>
            </w:pPr>
          </w:p>
          <w:p w:rsidR="009E5577" w:rsidRDefault="009E5577" w:rsidP="00A11D84">
            <w:pPr>
              <w:spacing w:after="0"/>
              <w:rPr>
                <w:rFonts w:cs="Arial"/>
              </w:rPr>
            </w:pPr>
            <w:r>
              <w:rPr>
                <w:rFonts w:cs="Arial"/>
              </w:rPr>
              <w:t xml:space="preserve">Provision has been made for compliance </w:t>
            </w:r>
            <w:r w:rsidR="00A81910">
              <w:rPr>
                <w:rFonts w:cs="Arial"/>
              </w:rPr>
              <w:t xml:space="preserve">with the emerging Local Plan requirements </w:t>
            </w:r>
            <w:r>
              <w:rPr>
                <w:rFonts w:cs="Arial"/>
              </w:rPr>
              <w:t xml:space="preserve">however we will </w:t>
            </w:r>
            <w:r w:rsidR="00A81910">
              <w:rPr>
                <w:rFonts w:cs="Arial"/>
              </w:rPr>
              <w:t xml:space="preserve">continue to </w:t>
            </w:r>
            <w:r>
              <w:rPr>
                <w:rFonts w:cs="Arial"/>
              </w:rPr>
              <w:t xml:space="preserve">look at </w:t>
            </w:r>
            <w:r w:rsidR="00A81910">
              <w:rPr>
                <w:rFonts w:cs="Arial"/>
              </w:rPr>
              <w:t xml:space="preserve">further </w:t>
            </w:r>
            <w:r>
              <w:rPr>
                <w:rFonts w:cs="Arial"/>
              </w:rPr>
              <w:t xml:space="preserve">options </w:t>
            </w:r>
            <w:r w:rsidR="00A81910">
              <w:rPr>
                <w:rFonts w:cs="Arial"/>
              </w:rPr>
              <w:t xml:space="preserve">to improve standards </w:t>
            </w:r>
            <w:r>
              <w:rPr>
                <w:rFonts w:cs="Arial"/>
              </w:rPr>
              <w:t xml:space="preserve">in line with the </w:t>
            </w:r>
            <w:r w:rsidR="00A81910">
              <w:rPr>
                <w:rFonts w:cs="Arial"/>
              </w:rPr>
              <w:t xml:space="preserve">overall </w:t>
            </w:r>
            <w:r>
              <w:rPr>
                <w:rFonts w:cs="Arial"/>
              </w:rPr>
              <w:t>budget envelop</w:t>
            </w:r>
            <w:r w:rsidR="00A81910">
              <w:rPr>
                <w:rFonts w:cs="Arial"/>
              </w:rPr>
              <w:t>e</w:t>
            </w:r>
          </w:p>
          <w:p w:rsidR="00A81910" w:rsidRDefault="00A81910" w:rsidP="00A11D84">
            <w:pPr>
              <w:spacing w:after="0"/>
              <w:rPr>
                <w:rFonts w:cs="Arial"/>
              </w:rPr>
            </w:pPr>
          </w:p>
          <w:p w:rsidR="000952D2" w:rsidRDefault="000952D2" w:rsidP="00A11D84">
            <w:pPr>
              <w:spacing w:after="0"/>
              <w:rPr>
                <w:rFonts w:cs="Arial"/>
              </w:rPr>
            </w:pPr>
          </w:p>
          <w:p w:rsidR="00D159A1" w:rsidRDefault="009E5577" w:rsidP="00A11D84">
            <w:pPr>
              <w:spacing w:after="0"/>
              <w:rPr>
                <w:rFonts w:cs="Arial"/>
              </w:rPr>
            </w:pPr>
            <w:r>
              <w:rPr>
                <w:rFonts w:cs="Arial"/>
              </w:rPr>
              <w:t xml:space="preserve">The </w:t>
            </w:r>
            <w:r w:rsidR="004D2FDE">
              <w:rPr>
                <w:rFonts w:cs="Arial"/>
              </w:rPr>
              <w:t xml:space="preserve">Catalyst team </w:t>
            </w:r>
            <w:r w:rsidR="002B7FF0">
              <w:rPr>
                <w:rFonts w:cs="Arial"/>
              </w:rPr>
              <w:t xml:space="preserve">already </w:t>
            </w:r>
            <w:r w:rsidR="004D2FDE">
              <w:rPr>
                <w:rFonts w:cs="Arial"/>
              </w:rPr>
              <w:t xml:space="preserve">includes </w:t>
            </w:r>
            <w:r w:rsidR="002B7FF0">
              <w:rPr>
                <w:rFonts w:cs="Arial"/>
              </w:rPr>
              <w:t xml:space="preserve">a sustainability consultant with </w:t>
            </w:r>
            <w:proofErr w:type="spellStart"/>
            <w:r w:rsidR="002B7FF0">
              <w:rPr>
                <w:rFonts w:cs="Arial"/>
              </w:rPr>
              <w:t>Passivhaus</w:t>
            </w:r>
            <w:proofErr w:type="spellEnd"/>
            <w:r w:rsidR="002B7FF0">
              <w:rPr>
                <w:rFonts w:cs="Arial"/>
              </w:rPr>
              <w:t xml:space="preserve"> experience</w:t>
            </w:r>
          </w:p>
          <w:p w:rsidR="004D2FDE" w:rsidRDefault="004D2FDE" w:rsidP="00A11D84">
            <w:pPr>
              <w:spacing w:after="0"/>
              <w:rPr>
                <w:rFonts w:cs="Arial"/>
              </w:rPr>
            </w:pPr>
          </w:p>
          <w:p w:rsidR="004D2FDE" w:rsidRDefault="004D2FDE" w:rsidP="00A11D84">
            <w:pPr>
              <w:spacing w:after="0"/>
              <w:rPr>
                <w:rFonts w:cs="Arial"/>
              </w:rPr>
            </w:pPr>
          </w:p>
          <w:p w:rsidR="004D2FDE" w:rsidRDefault="004D2FDE" w:rsidP="00A11D84">
            <w:pPr>
              <w:spacing w:after="0"/>
              <w:rPr>
                <w:rFonts w:cs="Arial"/>
              </w:rPr>
            </w:pPr>
          </w:p>
          <w:p w:rsidR="00D159A1" w:rsidRDefault="00D159A1" w:rsidP="00A11D84">
            <w:pPr>
              <w:spacing w:after="0"/>
              <w:rPr>
                <w:rFonts w:cs="Arial"/>
              </w:rPr>
            </w:pPr>
            <w:r>
              <w:rPr>
                <w:rFonts w:cs="Arial"/>
              </w:rPr>
              <w:t xml:space="preserve">Catalyst </w:t>
            </w:r>
            <w:r w:rsidR="009E5577">
              <w:rPr>
                <w:rFonts w:cs="Arial"/>
              </w:rPr>
              <w:t>is unable to</w:t>
            </w:r>
            <w:r>
              <w:rPr>
                <w:rFonts w:cs="Arial"/>
              </w:rPr>
              <w:t xml:space="preserve"> agree </w:t>
            </w:r>
            <w:r w:rsidR="002B7FF0">
              <w:rPr>
                <w:rFonts w:cs="Arial"/>
              </w:rPr>
              <w:t xml:space="preserve">as they do not have the financial </w:t>
            </w:r>
            <w:r w:rsidR="009E5577">
              <w:rPr>
                <w:rFonts w:cs="Arial"/>
              </w:rPr>
              <w:t>systems</w:t>
            </w:r>
            <w:r w:rsidR="002B7FF0">
              <w:rPr>
                <w:rFonts w:cs="Arial"/>
              </w:rPr>
              <w:t xml:space="preserve"> to support this</w:t>
            </w:r>
            <w:r w:rsidR="009E5577">
              <w:rPr>
                <w:rFonts w:cs="Arial"/>
              </w:rPr>
              <w:t xml:space="preserve"> and </w:t>
            </w:r>
            <w:r w:rsidR="00A81910">
              <w:rPr>
                <w:rFonts w:cs="Arial"/>
              </w:rPr>
              <w:t xml:space="preserve">it </w:t>
            </w:r>
            <w:r w:rsidR="009E5577">
              <w:rPr>
                <w:rFonts w:cs="Arial"/>
              </w:rPr>
              <w:t xml:space="preserve">is not part of the </w:t>
            </w:r>
            <w:r w:rsidR="00A81910">
              <w:rPr>
                <w:rFonts w:cs="Arial"/>
              </w:rPr>
              <w:t>current Development Ag</w:t>
            </w:r>
            <w:r w:rsidR="009E5577">
              <w:rPr>
                <w:rFonts w:cs="Arial"/>
              </w:rPr>
              <w:t>reement</w:t>
            </w:r>
          </w:p>
          <w:p w:rsidR="002B7FF0" w:rsidRDefault="002B7FF0" w:rsidP="00A11D84">
            <w:pPr>
              <w:spacing w:after="0"/>
              <w:rPr>
                <w:rFonts w:cs="Arial"/>
              </w:rPr>
            </w:pPr>
          </w:p>
          <w:p w:rsidR="002B7FF0" w:rsidRPr="00AC577F" w:rsidRDefault="002B7FF0" w:rsidP="00A11D84">
            <w:pPr>
              <w:spacing w:after="0"/>
              <w:rPr>
                <w:rFonts w:cs="Arial"/>
              </w:rPr>
            </w:pPr>
            <w:r>
              <w:rPr>
                <w:rFonts w:cs="Arial"/>
              </w:rPr>
              <w:t>Catalyst team already includes an environmental consultant who will advise on biodiversity as part of their environmental impact assessment</w:t>
            </w:r>
          </w:p>
        </w:tc>
      </w:tr>
    </w:tbl>
    <w:p w:rsidR="000F47BC" w:rsidRPr="006A5C65" w:rsidRDefault="000F47BC" w:rsidP="0013640C">
      <w:pPr>
        <w:spacing w:after="0"/>
        <w:rPr>
          <w:color w:val="auto"/>
        </w:rPr>
      </w:pPr>
    </w:p>
    <w:sectPr w:rsidR="000F47BC" w:rsidRPr="006A5C65" w:rsidSect="003F4AC6">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27" w:rsidRDefault="006D3727" w:rsidP="00A13BC5">
      <w:pPr>
        <w:spacing w:after="0"/>
      </w:pPr>
      <w:r>
        <w:separator/>
      </w:r>
    </w:p>
  </w:endnote>
  <w:endnote w:type="continuationSeparator" w:id="0">
    <w:p w:rsidR="006D3727" w:rsidRDefault="006D3727"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C6" w:rsidRPr="003F4AC6" w:rsidRDefault="003F4AC6">
    <w:pPr>
      <w:pStyle w:val="Footer"/>
      <w:rPr>
        <w:b/>
      </w:rPr>
    </w:pPr>
    <w:r w:rsidRPr="003F4AC6">
      <w:rPr>
        <w:b/>
      </w:rPr>
      <w:t>Date of Cabinet</w:t>
    </w:r>
    <w:r w:rsidR="00D24353">
      <w:rPr>
        <w:b/>
      </w:rPr>
      <w:t xml:space="preserve"> Meeting: 11.03</w:t>
    </w:r>
    <w:r w:rsidRPr="003F4AC6">
      <w:rPr>
        <w:b/>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27" w:rsidRDefault="006D3727" w:rsidP="00A13BC5">
      <w:pPr>
        <w:spacing w:after="0"/>
      </w:pPr>
      <w:r>
        <w:separator/>
      </w:r>
    </w:p>
  </w:footnote>
  <w:footnote w:type="continuationSeparator" w:id="0">
    <w:p w:rsidR="006D3727" w:rsidRDefault="006D3727"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60"/>
    <w:multiLevelType w:val="hybridMultilevel"/>
    <w:tmpl w:val="25E05D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0E620A44"/>
    <w:multiLevelType w:val="hybridMultilevel"/>
    <w:tmpl w:val="0BEA8328"/>
    <w:lvl w:ilvl="0" w:tplc="7CC65E44">
      <w:start w:val="1"/>
      <w:numFmt w:val="bullet"/>
      <w:lvlText w:val="-"/>
      <w:lvlJc w:val="left"/>
      <w:pPr>
        <w:ind w:left="437" w:hanging="360"/>
      </w:pPr>
      <w:rPr>
        <w:rFonts w:ascii="Arial" w:eastAsia="Times New Roman" w:hAnsi="Arial" w:cs="Aria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4">
    <w:nsid w:val="0F5F5717"/>
    <w:multiLevelType w:val="hybridMultilevel"/>
    <w:tmpl w:val="A8EA91E2"/>
    <w:lvl w:ilvl="0" w:tplc="172C73A6">
      <w:start w:val="1"/>
      <w:numFmt w:val="decimal"/>
      <w:lvlText w:val="%1."/>
      <w:lvlJc w:val="left"/>
      <w:pPr>
        <w:ind w:left="720" w:hanging="360"/>
      </w:pPr>
      <w:rPr>
        <w:rFonts w:ascii="Arial" w:eastAsiaTheme="minorHAnsi" w:hAnsi="Arial"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140C54EE"/>
    <w:multiLevelType w:val="hybridMultilevel"/>
    <w:tmpl w:val="5B5AEA72"/>
    <w:lvl w:ilvl="0" w:tplc="F944587E">
      <w:start w:val="3"/>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7">
    <w:nsid w:val="189C5483"/>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0355A32"/>
    <w:multiLevelType w:val="hybridMultilevel"/>
    <w:tmpl w:val="8E747452"/>
    <w:lvl w:ilvl="0" w:tplc="3BE29682">
      <w:start w:val="1"/>
      <w:numFmt w:val="decimal"/>
      <w:lvlText w:val="%1)"/>
      <w:lvlJc w:val="left"/>
      <w:pPr>
        <w:ind w:left="720" w:hanging="360"/>
      </w:pPr>
      <w:rPr>
        <w:rFonts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8E326E"/>
    <w:multiLevelType w:val="hybridMultilevel"/>
    <w:tmpl w:val="B088C09C"/>
    <w:lvl w:ilvl="0" w:tplc="94A63DD6">
      <w:start w:val="1"/>
      <w:numFmt w:val="lowerLetter"/>
      <w:lvlText w:val="%1)"/>
      <w:lvlJc w:val="left"/>
      <w:pPr>
        <w:ind w:left="927" w:hanging="360"/>
      </w:pPr>
      <w:rPr>
        <w:rFonts w:ascii="Arial" w:eastAsia="Times New Roman" w:hAnsi="Arial" w:cs="Arial"/>
        <w:sz w:val="24"/>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nsid w:val="2ECA4429"/>
    <w:multiLevelType w:val="hybridMultilevel"/>
    <w:tmpl w:val="8F0C4586"/>
    <w:lvl w:ilvl="0" w:tplc="80C0D9EA">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A10AC9"/>
    <w:multiLevelType w:val="hybridMultilevel"/>
    <w:tmpl w:val="A3DCD7A2"/>
    <w:lvl w:ilvl="0" w:tplc="F156FCB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4207518D"/>
    <w:multiLevelType w:val="hybridMultilevel"/>
    <w:tmpl w:val="50A089FC"/>
    <w:lvl w:ilvl="0" w:tplc="F05490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31F4A1C"/>
    <w:multiLevelType w:val="hybridMultilevel"/>
    <w:tmpl w:val="5AD031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51E5C82"/>
    <w:multiLevelType w:val="hybridMultilevel"/>
    <w:tmpl w:val="25E05D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526A6D96"/>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DA6EDA"/>
    <w:multiLevelType w:val="hybridMultilevel"/>
    <w:tmpl w:val="EE3E5958"/>
    <w:lvl w:ilvl="0" w:tplc="CA6E7B22">
      <w:start w:val="1"/>
      <w:numFmt w:val="lowerLetter"/>
      <w:lvlText w:val="%1)"/>
      <w:lvlJc w:val="left"/>
      <w:pPr>
        <w:ind w:left="961" w:hanging="360"/>
      </w:pPr>
      <w:rPr>
        <w:rFonts w:ascii="Arial" w:eastAsia="Times New Roman" w:hAnsi="Arial" w:cs="Arial"/>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nsid w:val="576F7B27"/>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5B77AA"/>
    <w:multiLevelType w:val="hybridMultilevel"/>
    <w:tmpl w:val="74068880"/>
    <w:lvl w:ilvl="0" w:tplc="395013A2">
      <w:start w:val="1"/>
      <w:numFmt w:val="decimal"/>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D808BE"/>
    <w:multiLevelType w:val="hybridMultilevel"/>
    <w:tmpl w:val="D2080662"/>
    <w:lvl w:ilvl="0" w:tplc="DCF6576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nsid w:val="6F294874"/>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70EF574B"/>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771C3473"/>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8365C6"/>
    <w:multiLevelType w:val="multilevel"/>
    <w:tmpl w:val="E67CE66C"/>
    <w:numStyleLink w:val="StyleNumberedLeft0cmHanging075cm"/>
  </w:abstractNum>
  <w:num w:numId="1">
    <w:abstractNumId w:val="1"/>
  </w:num>
  <w:num w:numId="2">
    <w:abstractNumId w:val="34"/>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12"/>
  </w:num>
  <w:num w:numId="4">
    <w:abstractNumId w:val="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24"/>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5"/>
  </w:num>
  <w:num w:numId="12">
    <w:abstractNumId w:val="3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8"/>
  </w:num>
  <w:num w:numId="17">
    <w:abstractNumId w:val="25"/>
  </w:num>
  <w:num w:numId="18">
    <w:abstractNumId w:val="4"/>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0"/>
  </w:num>
  <w:num w:numId="23">
    <w:abstractNumId w:val="1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6"/>
  </w:num>
  <w:num w:numId="27">
    <w:abstractNumId w:val="17"/>
  </w:num>
  <w:num w:numId="28">
    <w:abstractNumId w:val="23"/>
  </w:num>
  <w:num w:numId="29">
    <w:abstractNumId w:val="28"/>
  </w:num>
  <w:num w:numId="30">
    <w:abstractNumId w:val="33"/>
  </w:num>
  <w:num w:numId="31">
    <w:abstractNumId w:val="21"/>
  </w:num>
  <w:num w:numId="32">
    <w:abstractNumId w:val="3"/>
  </w:num>
  <w:num w:numId="33">
    <w:abstractNumId w:val="18"/>
  </w:num>
  <w:num w:numId="34">
    <w:abstractNumId w:val="27"/>
  </w:num>
  <w:num w:numId="35">
    <w:abstractNumId w:val="0"/>
  </w:num>
  <w:num w:numId="36">
    <w:abstractNumId w:val="10"/>
  </w:num>
  <w:num w:numId="37">
    <w:abstractNumId w:val="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16C75"/>
    <w:rsid w:val="0002012C"/>
    <w:rsid w:val="00024996"/>
    <w:rsid w:val="0002620E"/>
    <w:rsid w:val="00030799"/>
    <w:rsid w:val="00034053"/>
    <w:rsid w:val="0003449E"/>
    <w:rsid w:val="000347E5"/>
    <w:rsid w:val="00044EC9"/>
    <w:rsid w:val="00046154"/>
    <w:rsid w:val="00054347"/>
    <w:rsid w:val="00056A45"/>
    <w:rsid w:val="00062446"/>
    <w:rsid w:val="00065352"/>
    <w:rsid w:val="000748E0"/>
    <w:rsid w:val="00075687"/>
    <w:rsid w:val="00081E37"/>
    <w:rsid w:val="00091214"/>
    <w:rsid w:val="000952D2"/>
    <w:rsid w:val="00097218"/>
    <w:rsid w:val="000A7765"/>
    <w:rsid w:val="000B4310"/>
    <w:rsid w:val="000C084A"/>
    <w:rsid w:val="000C1BCE"/>
    <w:rsid w:val="000D1CA5"/>
    <w:rsid w:val="000E465A"/>
    <w:rsid w:val="000F47BC"/>
    <w:rsid w:val="00111DFA"/>
    <w:rsid w:val="001238F1"/>
    <w:rsid w:val="00132F00"/>
    <w:rsid w:val="0013640C"/>
    <w:rsid w:val="00140346"/>
    <w:rsid w:val="001748D7"/>
    <w:rsid w:val="00185064"/>
    <w:rsid w:val="00195738"/>
    <w:rsid w:val="001A15FD"/>
    <w:rsid w:val="001A5AFA"/>
    <w:rsid w:val="001B40F0"/>
    <w:rsid w:val="001B45D2"/>
    <w:rsid w:val="001C127A"/>
    <w:rsid w:val="001D68D1"/>
    <w:rsid w:val="001E11AB"/>
    <w:rsid w:val="001E2BA6"/>
    <w:rsid w:val="001E340D"/>
    <w:rsid w:val="002018A4"/>
    <w:rsid w:val="00212260"/>
    <w:rsid w:val="00214C75"/>
    <w:rsid w:val="00224CCD"/>
    <w:rsid w:val="0022538B"/>
    <w:rsid w:val="00235458"/>
    <w:rsid w:val="00236F05"/>
    <w:rsid w:val="002462EF"/>
    <w:rsid w:val="00251C3F"/>
    <w:rsid w:val="00265F20"/>
    <w:rsid w:val="00275EA1"/>
    <w:rsid w:val="002765DE"/>
    <w:rsid w:val="00283903"/>
    <w:rsid w:val="00283B78"/>
    <w:rsid w:val="00287A6F"/>
    <w:rsid w:val="002A02A0"/>
    <w:rsid w:val="002B7FF0"/>
    <w:rsid w:val="002C0923"/>
    <w:rsid w:val="002C5F5C"/>
    <w:rsid w:val="002C7241"/>
    <w:rsid w:val="002C78AE"/>
    <w:rsid w:val="002D087A"/>
    <w:rsid w:val="002D5EA5"/>
    <w:rsid w:val="002E5256"/>
    <w:rsid w:val="00301911"/>
    <w:rsid w:val="003064E7"/>
    <w:rsid w:val="00310F6D"/>
    <w:rsid w:val="00331434"/>
    <w:rsid w:val="00335AB9"/>
    <w:rsid w:val="00337650"/>
    <w:rsid w:val="003377DC"/>
    <w:rsid w:val="00344F25"/>
    <w:rsid w:val="00353D9D"/>
    <w:rsid w:val="0036012B"/>
    <w:rsid w:val="00380D6A"/>
    <w:rsid w:val="003857C0"/>
    <w:rsid w:val="00386743"/>
    <w:rsid w:val="003874B9"/>
    <w:rsid w:val="003969A6"/>
    <w:rsid w:val="003A7D64"/>
    <w:rsid w:val="003C460F"/>
    <w:rsid w:val="003C5F93"/>
    <w:rsid w:val="003F4AC6"/>
    <w:rsid w:val="003F5DD3"/>
    <w:rsid w:val="003F6FB9"/>
    <w:rsid w:val="004000D7"/>
    <w:rsid w:val="00403FD9"/>
    <w:rsid w:val="00407041"/>
    <w:rsid w:val="004233A9"/>
    <w:rsid w:val="00424C03"/>
    <w:rsid w:val="00430DEF"/>
    <w:rsid w:val="00433C6A"/>
    <w:rsid w:val="00465343"/>
    <w:rsid w:val="00472C5F"/>
    <w:rsid w:val="004735A0"/>
    <w:rsid w:val="00475E49"/>
    <w:rsid w:val="004826C2"/>
    <w:rsid w:val="0048277D"/>
    <w:rsid w:val="00486DF3"/>
    <w:rsid w:val="004935E3"/>
    <w:rsid w:val="004A045A"/>
    <w:rsid w:val="004A4C81"/>
    <w:rsid w:val="004A58FC"/>
    <w:rsid w:val="004A6C69"/>
    <w:rsid w:val="004B2BF7"/>
    <w:rsid w:val="004B3663"/>
    <w:rsid w:val="004C36AB"/>
    <w:rsid w:val="004C3F22"/>
    <w:rsid w:val="004D2FDE"/>
    <w:rsid w:val="004D4827"/>
    <w:rsid w:val="004E5B80"/>
    <w:rsid w:val="004F15CA"/>
    <w:rsid w:val="004F7425"/>
    <w:rsid w:val="004F7D8A"/>
    <w:rsid w:val="00504E43"/>
    <w:rsid w:val="00504F47"/>
    <w:rsid w:val="00512327"/>
    <w:rsid w:val="0051398D"/>
    <w:rsid w:val="00537290"/>
    <w:rsid w:val="00537FB5"/>
    <w:rsid w:val="00550209"/>
    <w:rsid w:val="005602D8"/>
    <w:rsid w:val="00566738"/>
    <w:rsid w:val="0057497B"/>
    <w:rsid w:val="00583DE1"/>
    <w:rsid w:val="00585DD8"/>
    <w:rsid w:val="00594236"/>
    <w:rsid w:val="005A3FF1"/>
    <w:rsid w:val="005A69BF"/>
    <w:rsid w:val="005A6A54"/>
    <w:rsid w:val="005B5998"/>
    <w:rsid w:val="005C24D4"/>
    <w:rsid w:val="005C26AF"/>
    <w:rsid w:val="005D0E52"/>
    <w:rsid w:val="005E528D"/>
    <w:rsid w:val="005F2027"/>
    <w:rsid w:val="005F62E7"/>
    <w:rsid w:val="00600352"/>
    <w:rsid w:val="00601DEF"/>
    <w:rsid w:val="00610C4D"/>
    <w:rsid w:val="00612112"/>
    <w:rsid w:val="00614E41"/>
    <w:rsid w:val="0062160B"/>
    <w:rsid w:val="00643CF0"/>
    <w:rsid w:val="00654A66"/>
    <w:rsid w:val="006572B4"/>
    <w:rsid w:val="00677009"/>
    <w:rsid w:val="00685DB3"/>
    <w:rsid w:val="006911A0"/>
    <w:rsid w:val="00692EA7"/>
    <w:rsid w:val="006960CF"/>
    <w:rsid w:val="006A146E"/>
    <w:rsid w:val="006A171D"/>
    <w:rsid w:val="006A5C65"/>
    <w:rsid w:val="006A7068"/>
    <w:rsid w:val="006B2E48"/>
    <w:rsid w:val="006B3295"/>
    <w:rsid w:val="006C4382"/>
    <w:rsid w:val="006D02B1"/>
    <w:rsid w:val="006D19F2"/>
    <w:rsid w:val="006D3727"/>
    <w:rsid w:val="006D6878"/>
    <w:rsid w:val="006D744A"/>
    <w:rsid w:val="006D7601"/>
    <w:rsid w:val="006E3B64"/>
    <w:rsid w:val="006E44DD"/>
    <w:rsid w:val="006E56C2"/>
    <w:rsid w:val="006F3AA9"/>
    <w:rsid w:val="007422A6"/>
    <w:rsid w:val="00743D6F"/>
    <w:rsid w:val="0075086B"/>
    <w:rsid w:val="00761C20"/>
    <w:rsid w:val="0077152B"/>
    <w:rsid w:val="007772EF"/>
    <w:rsid w:val="007908F4"/>
    <w:rsid w:val="00794753"/>
    <w:rsid w:val="007B2CA4"/>
    <w:rsid w:val="007C579E"/>
    <w:rsid w:val="007D2116"/>
    <w:rsid w:val="007D4EB4"/>
    <w:rsid w:val="007D59F8"/>
    <w:rsid w:val="007E24A0"/>
    <w:rsid w:val="007E49F7"/>
    <w:rsid w:val="007E7A0D"/>
    <w:rsid w:val="007F659F"/>
    <w:rsid w:val="0080619C"/>
    <w:rsid w:val="0081504A"/>
    <w:rsid w:val="0082619A"/>
    <w:rsid w:val="00836F3D"/>
    <w:rsid w:val="00840F81"/>
    <w:rsid w:val="00853D5B"/>
    <w:rsid w:val="00856551"/>
    <w:rsid w:val="00870C19"/>
    <w:rsid w:val="00873DA5"/>
    <w:rsid w:val="0088675D"/>
    <w:rsid w:val="00887B43"/>
    <w:rsid w:val="00891920"/>
    <w:rsid w:val="008978A8"/>
    <w:rsid w:val="008A22C6"/>
    <w:rsid w:val="008C05AE"/>
    <w:rsid w:val="008C1689"/>
    <w:rsid w:val="008C1AD0"/>
    <w:rsid w:val="008C3D75"/>
    <w:rsid w:val="008E4009"/>
    <w:rsid w:val="008E533D"/>
    <w:rsid w:val="008E5D2B"/>
    <w:rsid w:val="00905591"/>
    <w:rsid w:val="00912D0D"/>
    <w:rsid w:val="00913FB5"/>
    <w:rsid w:val="00920A97"/>
    <w:rsid w:val="009345AA"/>
    <w:rsid w:val="0093630F"/>
    <w:rsid w:val="00936663"/>
    <w:rsid w:val="00942AD6"/>
    <w:rsid w:val="00947B3E"/>
    <w:rsid w:val="009767FB"/>
    <w:rsid w:val="00977CB7"/>
    <w:rsid w:val="0098781E"/>
    <w:rsid w:val="00991D18"/>
    <w:rsid w:val="00995B20"/>
    <w:rsid w:val="009A15E9"/>
    <w:rsid w:val="009A3E0E"/>
    <w:rsid w:val="009A4E54"/>
    <w:rsid w:val="009A7782"/>
    <w:rsid w:val="009B17F0"/>
    <w:rsid w:val="009C20FA"/>
    <w:rsid w:val="009C3221"/>
    <w:rsid w:val="009C5FDF"/>
    <w:rsid w:val="009C77ED"/>
    <w:rsid w:val="009E5577"/>
    <w:rsid w:val="009E5C82"/>
    <w:rsid w:val="009F309B"/>
    <w:rsid w:val="009F3FC4"/>
    <w:rsid w:val="00A05E6A"/>
    <w:rsid w:val="00A06CF8"/>
    <w:rsid w:val="00A10A90"/>
    <w:rsid w:val="00A10ECE"/>
    <w:rsid w:val="00A13BC5"/>
    <w:rsid w:val="00A1744A"/>
    <w:rsid w:val="00A233A1"/>
    <w:rsid w:val="00A25F6C"/>
    <w:rsid w:val="00A26EA2"/>
    <w:rsid w:val="00A3189E"/>
    <w:rsid w:val="00A32BC3"/>
    <w:rsid w:val="00A44ABB"/>
    <w:rsid w:val="00A60DB6"/>
    <w:rsid w:val="00A62F04"/>
    <w:rsid w:val="00A66AC7"/>
    <w:rsid w:val="00A70307"/>
    <w:rsid w:val="00A734C0"/>
    <w:rsid w:val="00A81910"/>
    <w:rsid w:val="00A81FD7"/>
    <w:rsid w:val="00A83C39"/>
    <w:rsid w:val="00AB070F"/>
    <w:rsid w:val="00AB0E58"/>
    <w:rsid w:val="00AC7D42"/>
    <w:rsid w:val="00AD5302"/>
    <w:rsid w:val="00AF334D"/>
    <w:rsid w:val="00B018EA"/>
    <w:rsid w:val="00B01F52"/>
    <w:rsid w:val="00B0553D"/>
    <w:rsid w:val="00B06D07"/>
    <w:rsid w:val="00B070A9"/>
    <w:rsid w:val="00B214C0"/>
    <w:rsid w:val="00B226C8"/>
    <w:rsid w:val="00B42140"/>
    <w:rsid w:val="00B44C3F"/>
    <w:rsid w:val="00B4544E"/>
    <w:rsid w:val="00B4643C"/>
    <w:rsid w:val="00B51CD4"/>
    <w:rsid w:val="00B5401B"/>
    <w:rsid w:val="00B601E5"/>
    <w:rsid w:val="00B6088F"/>
    <w:rsid w:val="00B766FD"/>
    <w:rsid w:val="00B8508C"/>
    <w:rsid w:val="00B967F3"/>
    <w:rsid w:val="00BA4919"/>
    <w:rsid w:val="00BA4F39"/>
    <w:rsid w:val="00BA7463"/>
    <w:rsid w:val="00BA79DA"/>
    <w:rsid w:val="00BB1EA8"/>
    <w:rsid w:val="00BB494A"/>
    <w:rsid w:val="00BE2C76"/>
    <w:rsid w:val="00BE5567"/>
    <w:rsid w:val="00BF61A0"/>
    <w:rsid w:val="00C00326"/>
    <w:rsid w:val="00C0457D"/>
    <w:rsid w:val="00C07F80"/>
    <w:rsid w:val="00C1056C"/>
    <w:rsid w:val="00C16A3A"/>
    <w:rsid w:val="00C22631"/>
    <w:rsid w:val="00C26334"/>
    <w:rsid w:val="00C31A7B"/>
    <w:rsid w:val="00C5159C"/>
    <w:rsid w:val="00C528DC"/>
    <w:rsid w:val="00C559B5"/>
    <w:rsid w:val="00C62D5B"/>
    <w:rsid w:val="00C67CAE"/>
    <w:rsid w:val="00C95F56"/>
    <w:rsid w:val="00CA29E7"/>
    <w:rsid w:val="00CC2F59"/>
    <w:rsid w:val="00CC38E6"/>
    <w:rsid w:val="00CC5450"/>
    <w:rsid w:val="00CC7FD4"/>
    <w:rsid w:val="00CD7021"/>
    <w:rsid w:val="00CF24F5"/>
    <w:rsid w:val="00CF7FB6"/>
    <w:rsid w:val="00D159A1"/>
    <w:rsid w:val="00D20F45"/>
    <w:rsid w:val="00D24353"/>
    <w:rsid w:val="00D3611C"/>
    <w:rsid w:val="00D40F65"/>
    <w:rsid w:val="00D44A75"/>
    <w:rsid w:val="00D46033"/>
    <w:rsid w:val="00D46557"/>
    <w:rsid w:val="00D71F81"/>
    <w:rsid w:val="00D7797A"/>
    <w:rsid w:val="00D824B4"/>
    <w:rsid w:val="00D8664E"/>
    <w:rsid w:val="00DA56F3"/>
    <w:rsid w:val="00DA57B7"/>
    <w:rsid w:val="00DA70EA"/>
    <w:rsid w:val="00DB5CA6"/>
    <w:rsid w:val="00DD0214"/>
    <w:rsid w:val="00DE52B2"/>
    <w:rsid w:val="00DE776A"/>
    <w:rsid w:val="00DF1728"/>
    <w:rsid w:val="00DF2845"/>
    <w:rsid w:val="00E05800"/>
    <w:rsid w:val="00E21D31"/>
    <w:rsid w:val="00E2578C"/>
    <w:rsid w:val="00E37FC1"/>
    <w:rsid w:val="00E41456"/>
    <w:rsid w:val="00E5683D"/>
    <w:rsid w:val="00E750F9"/>
    <w:rsid w:val="00E83BAA"/>
    <w:rsid w:val="00E84111"/>
    <w:rsid w:val="00E871CC"/>
    <w:rsid w:val="00E91275"/>
    <w:rsid w:val="00E91555"/>
    <w:rsid w:val="00EA0754"/>
    <w:rsid w:val="00EA0FA4"/>
    <w:rsid w:val="00EB12FA"/>
    <w:rsid w:val="00EB5646"/>
    <w:rsid w:val="00ED0F03"/>
    <w:rsid w:val="00ED35AC"/>
    <w:rsid w:val="00EE762D"/>
    <w:rsid w:val="00F12B2A"/>
    <w:rsid w:val="00F23B47"/>
    <w:rsid w:val="00F26E07"/>
    <w:rsid w:val="00F37F03"/>
    <w:rsid w:val="00F447A1"/>
    <w:rsid w:val="00F6079C"/>
    <w:rsid w:val="00F64DA9"/>
    <w:rsid w:val="00F67132"/>
    <w:rsid w:val="00F67D9A"/>
    <w:rsid w:val="00F76242"/>
    <w:rsid w:val="00F76BEA"/>
    <w:rsid w:val="00F92A62"/>
    <w:rsid w:val="00F953C5"/>
    <w:rsid w:val="00FA0429"/>
    <w:rsid w:val="00FB1329"/>
    <w:rsid w:val="00FB1FA6"/>
    <w:rsid w:val="00FB7F7D"/>
    <w:rsid w:val="00FC55B1"/>
    <w:rsid w:val="00FC5EF5"/>
    <w:rsid w:val="00FD3A85"/>
    <w:rsid w:val="00FD6BEA"/>
    <w:rsid w:val="00FE5796"/>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47806549">
      <w:bodyDiv w:val="1"/>
      <w:marLeft w:val="0"/>
      <w:marRight w:val="0"/>
      <w:marTop w:val="0"/>
      <w:marBottom w:val="0"/>
      <w:divBdr>
        <w:top w:val="none" w:sz="0" w:space="0" w:color="auto"/>
        <w:left w:val="none" w:sz="0" w:space="0" w:color="auto"/>
        <w:bottom w:val="none" w:sz="0" w:space="0" w:color="auto"/>
        <w:right w:val="none" w:sz="0" w:space="0" w:color="auto"/>
      </w:divBdr>
    </w:div>
    <w:div w:id="245385212">
      <w:bodyDiv w:val="1"/>
      <w:marLeft w:val="0"/>
      <w:marRight w:val="0"/>
      <w:marTop w:val="0"/>
      <w:marBottom w:val="0"/>
      <w:divBdr>
        <w:top w:val="none" w:sz="0" w:space="0" w:color="auto"/>
        <w:left w:val="none" w:sz="0" w:space="0" w:color="auto"/>
        <w:bottom w:val="none" w:sz="0" w:space="0" w:color="auto"/>
        <w:right w:val="none" w:sz="0" w:space="0" w:color="auto"/>
      </w:divBdr>
    </w:div>
    <w:div w:id="323702592">
      <w:bodyDiv w:val="1"/>
      <w:marLeft w:val="0"/>
      <w:marRight w:val="0"/>
      <w:marTop w:val="0"/>
      <w:marBottom w:val="0"/>
      <w:divBdr>
        <w:top w:val="none" w:sz="0" w:space="0" w:color="auto"/>
        <w:left w:val="none" w:sz="0" w:space="0" w:color="auto"/>
        <w:bottom w:val="none" w:sz="0" w:space="0" w:color="auto"/>
        <w:right w:val="none" w:sz="0" w:space="0" w:color="auto"/>
      </w:divBdr>
    </w:div>
    <w:div w:id="544176365">
      <w:bodyDiv w:val="1"/>
      <w:marLeft w:val="0"/>
      <w:marRight w:val="0"/>
      <w:marTop w:val="0"/>
      <w:marBottom w:val="0"/>
      <w:divBdr>
        <w:top w:val="none" w:sz="0" w:space="0" w:color="auto"/>
        <w:left w:val="none" w:sz="0" w:space="0" w:color="auto"/>
        <w:bottom w:val="none" w:sz="0" w:space="0" w:color="auto"/>
        <w:right w:val="none" w:sz="0" w:space="0" w:color="auto"/>
      </w:divBdr>
    </w:div>
    <w:div w:id="579296981">
      <w:bodyDiv w:val="1"/>
      <w:marLeft w:val="0"/>
      <w:marRight w:val="0"/>
      <w:marTop w:val="0"/>
      <w:marBottom w:val="0"/>
      <w:divBdr>
        <w:top w:val="none" w:sz="0" w:space="0" w:color="auto"/>
        <w:left w:val="none" w:sz="0" w:space="0" w:color="auto"/>
        <w:bottom w:val="none" w:sz="0" w:space="0" w:color="auto"/>
        <w:right w:val="none" w:sz="0" w:space="0" w:color="auto"/>
      </w:divBdr>
    </w:div>
    <w:div w:id="606666933">
      <w:bodyDiv w:val="1"/>
      <w:marLeft w:val="0"/>
      <w:marRight w:val="0"/>
      <w:marTop w:val="0"/>
      <w:marBottom w:val="0"/>
      <w:divBdr>
        <w:top w:val="none" w:sz="0" w:space="0" w:color="auto"/>
        <w:left w:val="none" w:sz="0" w:space="0" w:color="auto"/>
        <w:bottom w:val="none" w:sz="0" w:space="0" w:color="auto"/>
        <w:right w:val="none" w:sz="0" w:space="0" w:color="auto"/>
      </w:divBdr>
    </w:div>
    <w:div w:id="880023231">
      <w:bodyDiv w:val="1"/>
      <w:marLeft w:val="0"/>
      <w:marRight w:val="0"/>
      <w:marTop w:val="0"/>
      <w:marBottom w:val="0"/>
      <w:divBdr>
        <w:top w:val="none" w:sz="0" w:space="0" w:color="auto"/>
        <w:left w:val="none" w:sz="0" w:space="0" w:color="auto"/>
        <w:bottom w:val="none" w:sz="0" w:space="0" w:color="auto"/>
        <w:right w:val="none" w:sz="0" w:space="0" w:color="auto"/>
      </w:divBdr>
    </w:div>
    <w:div w:id="1120952178">
      <w:bodyDiv w:val="1"/>
      <w:marLeft w:val="0"/>
      <w:marRight w:val="0"/>
      <w:marTop w:val="0"/>
      <w:marBottom w:val="0"/>
      <w:divBdr>
        <w:top w:val="none" w:sz="0" w:space="0" w:color="auto"/>
        <w:left w:val="none" w:sz="0" w:space="0" w:color="auto"/>
        <w:bottom w:val="none" w:sz="0" w:space="0" w:color="auto"/>
        <w:right w:val="none" w:sz="0" w:space="0" w:color="auto"/>
      </w:divBdr>
    </w:div>
    <w:div w:id="1473602025">
      <w:bodyDiv w:val="1"/>
      <w:marLeft w:val="0"/>
      <w:marRight w:val="0"/>
      <w:marTop w:val="0"/>
      <w:marBottom w:val="0"/>
      <w:divBdr>
        <w:top w:val="none" w:sz="0" w:space="0" w:color="auto"/>
        <w:left w:val="none" w:sz="0" w:space="0" w:color="auto"/>
        <w:bottom w:val="none" w:sz="0" w:space="0" w:color="auto"/>
        <w:right w:val="none" w:sz="0" w:space="0" w:color="auto"/>
      </w:divBdr>
      <w:divsChild>
        <w:div w:id="331225444">
          <w:marLeft w:val="0"/>
          <w:marRight w:val="0"/>
          <w:marTop w:val="0"/>
          <w:marBottom w:val="0"/>
          <w:divBdr>
            <w:top w:val="none" w:sz="0" w:space="0" w:color="auto"/>
            <w:left w:val="none" w:sz="0" w:space="0" w:color="auto"/>
            <w:bottom w:val="none" w:sz="0" w:space="0" w:color="auto"/>
            <w:right w:val="none" w:sz="0" w:space="0" w:color="auto"/>
          </w:divBdr>
        </w:div>
        <w:div w:id="294915472">
          <w:marLeft w:val="0"/>
          <w:marRight w:val="0"/>
          <w:marTop w:val="0"/>
          <w:marBottom w:val="0"/>
          <w:divBdr>
            <w:top w:val="none" w:sz="0" w:space="0" w:color="auto"/>
            <w:left w:val="none" w:sz="0" w:space="0" w:color="auto"/>
            <w:bottom w:val="none" w:sz="0" w:space="0" w:color="auto"/>
            <w:right w:val="none" w:sz="0" w:space="0" w:color="auto"/>
          </w:divBdr>
        </w:div>
        <w:div w:id="1412002261">
          <w:marLeft w:val="0"/>
          <w:marRight w:val="0"/>
          <w:marTop w:val="0"/>
          <w:marBottom w:val="0"/>
          <w:divBdr>
            <w:top w:val="none" w:sz="0" w:space="0" w:color="auto"/>
            <w:left w:val="none" w:sz="0" w:space="0" w:color="auto"/>
            <w:bottom w:val="none" w:sz="0" w:space="0" w:color="auto"/>
            <w:right w:val="none" w:sz="0" w:space="0" w:color="auto"/>
          </w:divBdr>
        </w:div>
        <w:div w:id="339553242">
          <w:marLeft w:val="0"/>
          <w:marRight w:val="0"/>
          <w:marTop w:val="0"/>
          <w:marBottom w:val="0"/>
          <w:divBdr>
            <w:top w:val="none" w:sz="0" w:space="0" w:color="auto"/>
            <w:left w:val="none" w:sz="0" w:space="0" w:color="auto"/>
            <w:bottom w:val="none" w:sz="0" w:space="0" w:color="auto"/>
            <w:right w:val="none" w:sz="0" w:space="0" w:color="auto"/>
          </w:divBdr>
        </w:div>
        <w:div w:id="1620332996">
          <w:marLeft w:val="0"/>
          <w:marRight w:val="0"/>
          <w:marTop w:val="0"/>
          <w:marBottom w:val="0"/>
          <w:divBdr>
            <w:top w:val="none" w:sz="0" w:space="0" w:color="auto"/>
            <w:left w:val="none" w:sz="0" w:space="0" w:color="auto"/>
            <w:bottom w:val="none" w:sz="0" w:space="0" w:color="auto"/>
            <w:right w:val="none" w:sz="0" w:space="0" w:color="auto"/>
          </w:divBdr>
        </w:div>
        <w:div w:id="2028213734">
          <w:marLeft w:val="0"/>
          <w:marRight w:val="0"/>
          <w:marTop w:val="0"/>
          <w:marBottom w:val="0"/>
          <w:divBdr>
            <w:top w:val="none" w:sz="0" w:space="0" w:color="auto"/>
            <w:left w:val="none" w:sz="0" w:space="0" w:color="auto"/>
            <w:bottom w:val="none" w:sz="0" w:space="0" w:color="auto"/>
            <w:right w:val="none" w:sz="0" w:space="0" w:color="auto"/>
          </w:divBdr>
        </w:div>
        <w:div w:id="929239100">
          <w:marLeft w:val="0"/>
          <w:marRight w:val="0"/>
          <w:marTop w:val="0"/>
          <w:marBottom w:val="0"/>
          <w:divBdr>
            <w:top w:val="none" w:sz="0" w:space="0" w:color="auto"/>
            <w:left w:val="none" w:sz="0" w:space="0" w:color="auto"/>
            <w:bottom w:val="none" w:sz="0" w:space="0" w:color="auto"/>
            <w:right w:val="none" w:sz="0" w:space="0" w:color="auto"/>
          </w:divBdr>
        </w:div>
        <w:div w:id="1578779880">
          <w:marLeft w:val="0"/>
          <w:marRight w:val="0"/>
          <w:marTop w:val="0"/>
          <w:marBottom w:val="0"/>
          <w:divBdr>
            <w:top w:val="none" w:sz="0" w:space="0" w:color="auto"/>
            <w:left w:val="none" w:sz="0" w:space="0" w:color="auto"/>
            <w:bottom w:val="none" w:sz="0" w:space="0" w:color="auto"/>
            <w:right w:val="none" w:sz="0" w:space="0" w:color="auto"/>
          </w:divBdr>
        </w:div>
        <w:div w:id="13633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hudson@oxford.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448B-4627-417D-B2FD-F222F51C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3D1726C1</Template>
  <TotalTime>2</TotalTime>
  <Pages>7</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thudson</cp:lastModifiedBy>
  <cp:revision>3</cp:revision>
  <cp:lastPrinted>2020-03-09T09:45:00Z</cp:lastPrinted>
  <dcterms:created xsi:type="dcterms:W3CDTF">2020-03-10T10:59:00Z</dcterms:created>
  <dcterms:modified xsi:type="dcterms:W3CDTF">2020-03-10T11:14:00Z</dcterms:modified>
</cp:coreProperties>
</file>